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A302">
      <w:pPr>
        <w:spacing w:line="480" w:lineRule="exact"/>
        <w:outlineLvl w:val="0"/>
        <w:rPr>
          <w:rFonts w:ascii="黑体" w:hAnsi="黑体" w:eastAsia="黑体"/>
          <w:sz w:val="32"/>
          <w:szCs w:val="32"/>
        </w:rPr>
      </w:pPr>
      <w:r>
        <w:rPr>
          <w:rFonts w:hint="eastAsia" w:ascii="黑体" w:hAnsi="黑体" w:eastAsia="黑体"/>
          <w:sz w:val="32"/>
          <w:szCs w:val="32"/>
        </w:rPr>
        <w:t>附件1</w:t>
      </w:r>
    </w:p>
    <w:p w14:paraId="0AA27B01">
      <w:pPr>
        <w:spacing w:line="480" w:lineRule="exact"/>
        <w:jc w:val="center"/>
        <w:rPr>
          <w:rFonts w:ascii="仿宋" w:hAnsi="仿宋" w:eastAsia="仿宋"/>
          <w:sz w:val="32"/>
          <w:szCs w:val="32"/>
        </w:rPr>
      </w:pPr>
      <w:bookmarkStart w:id="9" w:name="_GoBack"/>
      <w:r>
        <w:rPr>
          <w:rFonts w:hint="eastAsia" w:ascii="创艺简标宋" w:eastAsia="创艺简标宋"/>
          <w:bCs/>
          <w:sz w:val="32"/>
          <w:szCs w:val="32"/>
        </w:rPr>
        <w:t>天问三号任务有效载荷研制意向征集指南</w:t>
      </w:r>
    </w:p>
    <w:bookmarkEnd w:id="9"/>
    <w:tbl>
      <w:tblPr>
        <w:tblStyle w:val="6"/>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75"/>
        <w:gridCol w:w="1198"/>
        <w:gridCol w:w="2646"/>
        <w:gridCol w:w="3789"/>
        <w:gridCol w:w="5110"/>
      </w:tblGrid>
      <w:tr w14:paraId="6505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62" w:type="dxa"/>
            <w:shd w:val="clear" w:color="auto" w:fill="D9D9D9"/>
            <w:noWrap w:val="0"/>
            <w:vAlign w:val="center"/>
          </w:tcPr>
          <w:p w14:paraId="51F63E3D">
            <w:pPr>
              <w:ind w:left="-105" w:leftChars="-50" w:right="-105" w:rightChars="-50"/>
              <w:jc w:val="center"/>
              <w:rPr>
                <w:rFonts w:ascii="Times New Roman" w:hAnsi="Times New Roman" w:eastAsia="黑体"/>
                <w:sz w:val="20"/>
                <w:szCs w:val="20"/>
                <w:lang w:bidi="en-US"/>
              </w:rPr>
            </w:pPr>
            <w:bookmarkStart w:id="0" w:name="_Hlk182926136"/>
            <w:r>
              <w:rPr>
                <w:rFonts w:ascii="Times New Roman" w:hAnsi="Times New Roman" w:eastAsia="黑体"/>
                <w:sz w:val="20"/>
                <w:szCs w:val="20"/>
                <w:lang w:bidi="en-US"/>
              </w:rPr>
              <w:t>序号</w:t>
            </w:r>
          </w:p>
        </w:tc>
        <w:tc>
          <w:tcPr>
            <w:tcW w:w="475" w:type="dxa"/>
            <w:shd w:val="clear" w:color="auto" w:fill="D9D9D9"/>
            <w:noWrap w:val="0"/>
            <w:vAlign w:val="center"/>
          </w:tcPr>
          <w:p w14:paraId="645C91A0">
            <w:pPr>
              <w:ind w:left="-105" w:leftChars="-50" w:right="-105" w:rightChars="-50"/>
              <w:jc w:val="center"/>
              <w:rPr>
                <w:rFonts w:ascii="Times New Roman" w:hAnsi="Times New Roman" w:eastAsia="黑体"/>
                <w:sz w:val="20"/>
                <w:szCs w:val="20"/>
                <w:lang w:bidi="en-US"/>
              </w:rPr>
            </w:pPr>
            <w:r>
              <w:rPr>
                <w:rFonts w:ascii="Times New Roman" w:hAnsi="Times New Roman" w:eastAsia="黑体"/>
                <w:sz w:val="20"/>
                <w:szCs w:val="20"/>
                <w:lang w:bidi="en-US"/>
              </w:rPr>
              <w:t>平台</w:t>
            </w:r>
          </w:p>
        </w:tc>
        <w:tc>
          <w:tcPr>
            <w:tcW w:w="1198" w:type="dxa"/>
            <w:shd w:val="clear" w:color="auto" w:fill="D9D9D9"/>
            <w:noWrap w:val="0"/>
            <w:vAlign w:val="center"/>
          </w:tcPr>
          <w:p w14:paraId="546F8541">
            <w:pPr>
              <w:ind w:left="-105" w:leftChars="-50" w:right="-105" w:rightChars="-50"/>
              <w:jc w:val="center"/>
              <w:rPr>
                <w:rFonts w:ascii="Times New Roman" w:hAnsi="Times New Roman" w:eastAsia="黑体"/>
                <w:sz w:val="20"/>
                <w:szCs w:val="20"/>
                <w:lang w:bidi="en-US"/>
              </w:rPr>
            </w:pPr>
            <w:r>
              <w:rPr>
                <w:rFonts w:ascii="Times New Roman" w:hAnsi="Times New Roman" w:eastAsia="黑体"/>
                <w:sz w:val="20"/>
                <w:szCs w:val="20"/>
                <w:lang w:bidi="en-US"/>
              </w:rPr>
              <w:t>有效载荷</w:t>
            </w:r>
          </w:p>
        </w:tc>
        <w:tc>
          <w:tcPr>
            <w:tcW w:w="2646" w:type="dxa"/>
            <w:shd w:val="clear" w:color="auto" w:fill="D9D9D9"/>
            <w:noWrap w:val="0"/>
            <w:vAlign w:val="center"/>
          </w:tcPr>
          <w:p w14:paraId="6707132F">
            <w:pPr>
              <w:ind w:left="-105" w:leftChars="-50" w:right="-105" w:rightChars="-50"/>
              <w:jc w:val="center"/>
              <w:rPr>
                <w:rFonts w:ascii="Times New Roman" w:hAnsi="Times New Roman" w:eastAsia="黑体"/>
                <w:sz w:val="20"/>
                <w:szCs w:val="20"/>
                <w:lang w:bidi="en-US"/>
              </w:rPr>
            </w:pPr>
            <w:r>
              <w:rPr>
                <w:rFonts w:ascii="Times New Roman" w:hAnsi="Times New Roman" w:eastAsia="黑体"/>
                <w:sz w:val="20"/>
                <w:szCs w:val="20"/>
                <w:lang w:bidi="en-US"/>
              </w:rPr>
              <w:t>探测任务</w:t>
            </w:r>
          </w:p>
        </w:tc>
        <w:tc>
          <w:tcPr>
            <w:tcW w:w="3789" w:type="dxa"/>
            <w:shd w:val="clear" w:color="auto" w:fill="D9D9D9"/>
            <w:noWrap w:val="0"/>
            <w:vAlign w:val="center"/>
          </w:tcPr>
          <w:p w14:paraId="00394371">
            <w:pPr>
              <w:ind w:left="-105" w:leftChars="-50" w:right="-105" w:rightChars="-50"/>
              <w:jc w:val="center"/>
              <w:rPr>
                <w:rFonts w:ascii="Times New Roman" w:hAnsi="Times New Roman" w:eastAsia="黑体"/>
                <w:sz w:val="20"/>
                <w:szCs w:val="20"/>
                <w:lang w:bidi="en-US"/>
              </w:rPr>
            </w:pPr>
            <w:r>
              <w:rPr>
                <w:rFonts w:ascii="Times New Roman" w:hAnsi="Times New Roman" w:eastAsia="黑体"/>
                <w:sz w:val="20"/>
                <w:szCs w:val="20"/>
                <w:lang w:bidi="en-US"/>
              </w:rPr>
              <w:t>主要功能</w:t>
            </w:r>
          </w:p>
        </w:tc>
        <w:tc>
          <w:tcPr>
            <w:tcW w:w="5110" w:type="dxa"/>
            <w:shd w:val="clear" w:color="auto" w:fill="D9D9D9"/>
            <w:noWrap w:val="0"/>
            <w:vAlign w:val="center"/>
          </w:tcPr>
          <w:p w14:paraId="1FA83C84">
            <w:pPr>
              <w:ind w:left="-105" w:leftChars="-50" w:right="-105" w:rightChars="-50"/>
              <w:jc w:val="center"/>
              <w:rPr>
                <w:rFonts w:ascii="Times New Roman" w:hAnsi="Times New Roman" w:eastAsia="黑体"/>
                <w:sz w:val="20"/>
                <w:szCs w:val="20"/>
                <w:lang w:bidi="en-US"/>
              </w:rPr>
            </w:pPr>
            <w:r>
              <w:rPr>
                <w:rFonts w:ascii="Times New Roman" w:hAnsi="Times New Roman" w:eastAsia="黑体"/>
                <w:sz w:val="20"/>
                <w:szCs w:val="20"/>
                <w:lang w:bidi="en-US"/>
              </w:rPr>
              <w:t>主要探测指标</w:t>
            </w:r>
          </w:p>
        </w:tc>
      </w:tr>
      <w:tr w14:paraId="7DC9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noWrap w:val="0"/>
            <w:vAlign w:val="center"/>
          </w:tcPr>
          <w:p w14:paraId="01E1B16B">
            <w:pPr>
              <w:numPr>
                <w:ilvl w:val="0"/>
                <w:numId w:val="1"/>
              </w:numPr>
              <w:spacing w:line="260" w:lineRule="exact"/>
              <w:ind w:left="0" w:firstLine="0"/>
              <w:jc w:val="center"/>
              <w:rPr>
                <w:rFonts w:ascii="Times New Roman" w:hAnsi="Times New Roman" w:eastAsia="仿宋_GB2312"/>
                <w:sz w:val="20"/>
                <w:szCs w:val="20"/>
                <w:lang w:bidi="en-US"/>
              </w:rPr>
            </w:pPr>
          </w:p>
        </w:tc>
        <w:tc>
          <w:tcPr>
            <w:tcW w:w="475" w:type="dxa"/>
            <w:vMerge w:val="restart"/>
            <w:noWrap w:val="0"/>
            <w:vAlign w:val="center"/>
          </w:tcPr>
          <w:p w14:paraId="08E0EFA8">
            <w:pPr>
              <w:spacing w:line="260" w:lineRule="exact"/>
              <w:jc w:val="center"/>
              <w:rPr>
                <w:rFonts w:ascii="Times New Roman" w:hAnsi="Times New Roman" w:eastAsia="仿宋_GB2312"/>
                <w:sz w:val="20"/>
                <w:szCs w:val="20"/>
                <w:lang w:bidi="en-US"/>
              </w:rPr>
            </w:pPr>
            <w:r>
              <w:rPr>
                <w:rFonts w:ascii="Times New Roman" w:hAnsi="Times New Roman" w:eastAsia="仿宋_GB2312"/>
                <w:sz w:val="20"/>
                <w:szCs w:val="20"/>
                <w:lang w:bidi="en-US"/>
              </w:rPr>
              <w:t>着陆器</w:t>
            </w:r>
          </w:p>
        </w:tc>
        <w:tc>
          <w:tcPr>
            <w:tcW w:w="1198" w:type="dxa"/>
            <w:noWrap w:val="0"/>
            <w:vAlign w:val="center"/>
          </w:tcPr>
          <w:p w14:paraId="6DCC5E9D">
            <w:p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拉曼-荧光光谱仪</w:t>
            </w:r>
          </w:p>
        </w:tc>
        <w:tc>
          <w:tcPr>
            <w:tcW w:w="2646" w:type="dxa"/>
            <w:noWrap w:val="0"/>
            <w:vAlign w:val="center"/>
          </w:tcPr>
          <w:p w14:paraId="7B42C24F">
            <w:p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开展采样区拉曼</w:t>
            </w:r>
            <w:r>
              <w:rPr>
                <w:rFonts w:hint="eastAsia" w:ascii="Times New Roman" w:hAnsi="Times New Roman" w:eastAsia="仿宋_GB2312"/>
                <w:sz w:val="20"/>
                <w:szCs w:val="20"/>
                <w:lang w:bidi="en-US"/>
              </w:rPr>
              <w:t>和</w:t>
            </w:r>
            <w:r>
              <w:rPr>
                <w:rFonts w:ascii="Times New Roman" w:hAnsi="Times New Roman" w:eastAsia="仿宋_GB2312"/>
                <w:sz w:val="20"/>
                <w:szCs w:val="20"/>
                <w:lang w:bidi="en-US"/>
              </w:rPr>
              <w:t>荧光光谱探测，获取火星表层岩石/火壤中的硅酸盐、含水矿物及有机物等矿物成分科学数据，为火星返回样品遴选和着陆区研究提供原位观测物质组成和岩石类型背景信息。</w:t>
            </w:r>
          </w:p>
        </w:tc>
        <w:tc>
          <w:tcPr>
            <w:tcW w:w="3789" w:type="dxa"/>
            <w:noWrap w:val="0"/>
            <w:vAlign w:val="center"/>
          </w:tcPr>
          <w:p w14:paraId="2D7D1B8C">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具备拉曼</w:t>
            </w:r>
            <w:r>
              <w:rPr>
                <w:rFonts w:hint="eastAsia" w:ascii="Times New Roman" w:hAnsi="Times New Roman" w:eastAsia="仿宋_GB2312"/>
                <w:sz w:val="20"/>
                <w:szCs w:val="20"/>
                <w:lang w:bidi="en-US"/>
              </w:rPr>
              <w:t>和</w:t>
            </w:r>
            <w:r>
              <w:rPr>
                <w:rFonts w:ascii="Times New Roman" w:hAnsi="Times New Roman" w:eastAsia="仿宋_GB2312"/>
                <w:sz w:val="20"/>
                <w:szCs w:val="20"/>
                <w:lang w:bidi="en-US"/>
              </w:rPr>
              <w:t xml:space="preserve">荧光光谱探测功能； </w:t>
            </w:r>
          </w:p>
          <w:p w14:paraId="48885E1E">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具备主动激发光源功能；</w:t>
            </w:r>
          </w:p>
          <w:p w14:paraId="57D8C70D">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具备二维指向功能；</w:t>
            </w:r>
          </w:p>
          <w:p w14:paraId="557582E3">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具备显微成像功能；</w:t>
            </w:r>
          </w:p>
          <w:p w14:paraId="7AE7A409">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具备自动聚焦功能；</w:t>
            </w:r>
          </w:p>
          <w:p w14:paraId="061E5D0B">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具备在轨定标功能；</w:t>
            </w:r>
          </w:p>
          <w:p w14:paraId="3A95720B">
            <w:pPr>
              <w:pStyle w:val="8"/>
              <w:numPr>
                <w:ilvl w:val="0"/>
                <w:numId w:val="2"/>
              </w:numPr>
              <w:spacing w:line="260" w:lineRule="exact"/>
              <w:ind w:left="0" w:firstLine="0" w:firstLineChars="0"/>
              <w:rPr>
                <w:rFonts w:ascii="Times New Roman" w:hAnsi="Times New Roman" w:eastAsia="仿宋_GB2312"/>
                <w:sz w:val="20"/>
                <w:szCs w:val="20"/>
                <w:lang w:bidi="en-US"/>
              </w:rPr>
            </w:pPr>
            <w:bookmarkStart w:id="1" w:name="OLE_LINK1"/>
            <w:r>
              <w:rPr>
                <w:rFonts w:ascii="Times New Roman" w:hAnsi="Times New Roman" w:eastAsia="仿宋_GB2312"/>
                <w:sz w:val="20"/>
                <w:szCs w:val="20"/>
                <w:lang w:bidi="en-US"/>
              </w:rPr>
              <w:t>具备杂散光抑制功能；</w:t>
            </w:r>
            <w:bookmarkEnd w:id="1"/>
          </w:p>
          <w:p w14:paraId="41736B30">
            <w:pPr>
              <w:pStyle w:val="8"/>
              <w:numPr>
                <w:ilvl w:val="0"/>
                <w:numId w:val="2"/>
              </w:numPr>
              <w:spacing w:line="260" w:lineRule="exact"/>
              <w:ind w:left="0" w:firstLine="0" w:firstLineChars="0"/>
              <w:rPr>
                <w:rFonts w:ascii="Times New Roman" w:hAnsi="Times New Roman" w:eastAsia="仿宋_GB2312"/>
                <w:sz w:val="20"/>
                <w:szCs w:val="20"/>
                <w:lang w:bidi="en-US"/>
              </w:rPr>
            </w:pPr>
            <w:r>
              <w:rPr>
                <w:rFonts w:ascii="Times New Roman" w:hAnsi="Times New Roman" w:eastAsia="仿宋_GB2312"/>
                <w:sz w:val="20"/>
                <w:szCs w:val="20"/>
                <w:lang w:bidi="en-US"/>
              </w:rPr>
              <w:t>具备热控功能。</w:t>
            </w:r>
          </w:p>
        </w:tc>
        <w:tc>
          <w:tcPr>
            <w:tcW w:w="5110" w:type="dxa"/>
            <w:noWrap w:val="0"/>
            <w:vAlign w:val="center"/>
          </w:tcPr>
          <w:p w14:paraId="60D5EC80">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拉曼光谱探测范围：500～3800cm</w:t>
            </w:r>
            <w:r>
              <w:rPr>
                <w:rFonts w:ascii="Times New Roman" w:hAnsi="Times New Roman" w:eastAsia="仿宋_GB2312"/>
                <w:sz w:val="20"/>
                <w:szCs w:val="20"/>
                <w:vertAlign w:val="superscript"/>
                <w:lang w:bidi="en-US"/>
              </w:rPr>
              <w:t>-1</w:t>
            </w:r>
            <w:r>
              <w:rPr>
                <w:rFonts w:ascii="Times New Roman" w:hAnsi="Times New Roman" w:eastAsia="仿宋_GB2312"/>
                <w:sz w:val="20"/>
                <w:szCs w:val="20"/>
                <w:lang w:bidi="en-US"/>
              </w:rPr>
              <w:t>；</w:t>
            </w:r>
          </w:p>
          <w:p w14:paraId="6579A3D5">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拉曼光谱分辨率：≤40cm</w:t>
            </w:r>
            <w:r>
              <w:rPr>
                <w:rFonts w:ascii="Times New Roman" w:hAnsi="Times New Roman" w:eastAsia="仿宋_GB2312"/>
                <w:sz w:val="20"/>
                <w:szCs w:val="20"/>
                <w:vertAlign w:val="superscript"/>
                <w:lang w:bidi="en-US"/>
              </w:rPr>
              <w:t>-1</w:t>
            </w:r>
            <w:r>
              <w:rPr>
                <w:rFonts w:ascii="Times New Roman" w:hAnsi="Times New Roman" w:eastAsia="仿宋_GB2312"/>
                <w:sz w:val="20"/>
                <w:szCs w:val="20"/>
                <w:lang w:bidi="en-US"/>
              </w:rPr>
              <w:t>；</w:t>
            </w:r>
          </w:p>
          <w:p w14:paraId="25841683">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拉曼光谱信噪比：≥20dB；</w:t>
            </w:r>
          </w:p>
          <w:p w14:paraId="48BBDC8B">
            <w:pPr>
              <w:numPr>
                <w:ilvl w:val="0"/>
                <w:numId w:val="3"/>
              </w:numPr>
              <w:spacing w:line="26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荧光光谱探测范围：320nm~450nm；</w:t>
            </w:r>
          </w:p>
          <w:p w14:paraId="283B301F">
            <w:pPr>
              <w:numPr>
                <w:ilvl w:val="0"/>
                <w:numId w:val="3"/>
              </w:numPr>
              <w:spacing w:line="260" w:lineRule="exact"/>
              <w:rPr>
                <w:rFonts w:hint="eastAsia" w:ascii="Times New Roman" w:hAnsi="Times New Roman" w:eastAsia="仿宋_GB2312"/>
                <w:sz w:val="20"/>
                <w:szCs w:val="20"/>
                <w:lang w:bidi="en-US"/>
              </w:rPr>
            </w:pPr>
            <w:r>
              <w:rPr>
                <w:rFonts w:hint="eastAsia" w:ascii="Times New Roman" w:hAnsi="Times New Roman" w:eastAsia="仿宋_GB2312"/>
                <w:sz w:val="20"/>
                <w:szCs w:val="20"/>
                <w:lang w:bidi="en-US"/>
              </w:rPr>
              <w:t>荧光光谱分辨率：优于15nm；</w:t>
            </w:r>
          </w:p>
          <w:p w14:paraId="39E5F21D">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探测距离范围：1.2~2m；</w:t>
            </w:r>
          </w:p>
          <w:p w14:paraId="031B0902">
            <w:pPr>
              <w:numPr>
                <w:ilvl w:val="0"/>
                <w:numId w:val="3"/>
              </w:numPr>
              <w:spacing w:line="260" w:lineRule="exact"/>
              <w:rPr>
                <w:rFonts w:ascii="Times New Roman" w:hAnsi="Times New Roman" w:eastAsia="仿宋_GB2312"/>
                <w:sz w:val="20"/>
                <w:szCs w:val="20"/>
                <w:lang w:bidi="en-US"/>
              </w:rPr>
            </w:pPr>
            <w:bookmarkStart w:id="2" w:name="_Hlk172921189"/>
            <w:r>
              <w:rPr>
                <w:rFonts w:ascii="Times New Roman" w:hAnsi="Times New Roman" w:eastAsia="仿宋_GB2312"/>
                <w:sz w:val="20"/>
                <w:szCs w:val="20"/>
                <w:lang w:bidi="en-US"/>
              </w:rPr>
              <w:t>显微成像视场</w:t>
            </w:r>
            <w:bookmarkEnd w:id="2"/>
            <w:r>
              <w:rPr>
                <w:rFonts w:ascii="Times New Roman" w:hAnsi="Times New Roman" w:eastAsia="仿宋_GB2312"/>
                <w:sz w:val="20"/>
                <w:szCs w:val="20"/>
                <w:lang w:bidi="en-US"/>
              </w:rPr>
              <w:t>：≥2°×2°；</w:t>
            </w:r>
          </w:p>
          <w:p w14:paraId="69130100">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激光光斑大小：≤0.75mm@1.5m；</w:t>
            </w:r>
          </w:p>
          <w:p w14:paraId="59E4684D">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显微成像分辨率：≤0.25mm@1.5m；</w:t>
            </w:r>
          </w:p>
          <w:p w14:paraId="3409ABD5">
            <w:pPr>
              <w:numPr>
                <w:ilvl w:val="0"/>
                <w:numId w:val="3"/>
              </w:numPr>
              <w:spacing w:line="260" w:lineRule="exact"/>
              <w:rPr>
                <w:rFonts w:ascii="Times New Roman" w:hAnsi="Times New Roman" w:eastAsia="仿宋_GB2312"/>
                <w:sz w:val="20"/>
                <w:szCs w:val="20"/>
                <w:lang w:bidi="en-US"/>
              </w:rPr>
            </w:pPr>
            <w:bookmarkStart w:id="3" w:name="_Hlk172921203"/>
            <w:r>
              <w:rPr>
                <w:rFonts w:ascii="Times New Roman" w:hAnsi="Times New Roman" w:eastAsia="仿宋_GB2312"/>
                <w:sz w:val="20"/>
                <w:szCs w:val="20"/>
                <w:lang w:bidi="en-US"/>
              </w:rPr>
              <w:t>显微</w:t>
            </w:r>
            <w:r>
              <w:rPr>
                <w:rFonts w:hint="eastAsia" w:ascii="Times New Roman" w:hAnsi="Times New Roman" w:eastAsia="仿宋_GB2312"/>
                <w:sz w:val="20"/>
                <w:szCs w:val="20"/>
                <w:lang w:bidi="en-US"/>
              </w:rPr>
              <w:t>成像静态</w:t>
            </w:r>
            <w:r>
              <w:rPr>
                <w:rFonts w:ascii="Times New Roman" w:hAnsi="Times New Roman" w:eastAsia="仿宋_GB2312"/>
                <w:sz w:val="20"/>
                <w:szCs w:val="20"/>
                <w:lang w:bidi="en-US"/>
              </w:rPr>
              <w:t>MTF</w:t>
            </w:r>
            <w:bookmarkEnd w:id="3"/>
            <w:r>
              <w:rPr>
                <w:rFonts w:ascii="Times New Roman" w:hAnsi="Times New Roman" w:eastAsia="仿宋_GB2312"/>
                <w:sz w:val="20"/>
                <w:szCs w:val="20"/>
                <w:lang w:bidi="en-US"/>
              </w:rPr>
              <w:t>：≥0.2；</w:t>
            </w:r>
          </w:p>
          <w:p w14:paraId="08FCBB19">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二维指向范围：俯仰≥20°，方位≥30°；</w:t>
            </w:r>
          </w:p>
          <w:p w14:paraId="17613180">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二维指向精度：</w:t>
            </w:r>
            <w:r>
              <w:rPr>
                <w:rFonts w:hint="eastAsia" w:ascii="Times New Roman" w:hAnsi="Times New Roman" w:eastAsia="仿宋_GB2312"/>
                <w:sz w:val="20"/>
                <w:szCs w:val="20"/>
                <w:lang w:bidi="en-US"/>
              </w:rPr>
              <w:t>俯仰</w:t>
            </w:r>
            <w:r>
              <w:rPr>
                <w:rFonts w:ascii="Times New Roman" w:hAnsi="Times New Roman" w:eastAsia="仿宋_GB2312"/>
                <w:sz w:val="20"/>
                <w:szCs w:val="20"/>
                <w:lang w:bidi="en-US"/>
              </w:rPr>
              <w:t>≤0.</w:t>
            </w:r>
            <w:r>
              <w:rPr>
                <w:rFonts w:hint="eastAsia" w:ascii="Times New Roman" w:hAnsi="Times New Roman" w:eastAsia="仿宋_GB2312"/>
                <w:sz w:val="20"/>
                <w:szCs w:val="20"/>
                <w:lang w:bidi="en-US"/>
              </w:rPr>
              <w:t>1</w:t>
            </w:r>
            <w:r>
              <w:rPr>
                <w:rFonts w:ascii="Times New Roman" w:hAnsi="Times New Roman" w:eastAsia="仿宋_GB2312"/>
                <w:sz w:val="20"/>
                <w:szCs w:val="20"/>
                <w:lang w:bidi="en-US"/>
              </w:rPr>
              <w:t>°，</w:t>
            </w:r>
            <w:r>
              <w:rPr>
                <w:rFonts w:hint="eastAsia" w:ascii="Times New Roman" w:hAnsi="Times New Roman" w:eastAsia="仿宋_GB2312"/>
                <w:sz w:val="20"/>
                <w:szCs w:val="20"/>
                <w:lang w:bidi="en-US"/>
              </w:rPr>
              <w:t>方位</w:t>
            </w:r>
            <w:r>
              <w:rPr>
                <w:rFonts w:ascii="Times New Roman" w:hAnsi="Times New Roman" w:eastAsia="仿宋_GB2312"/>
                <w:sz w:val="20"/>
                <w:szCs w:val="20"/>
                <w:lang w:bidi="en-US"/>
              </w:rPr>
              <w:t>≤0.</w:t>
            </w:r>
            <w:r>
              <w:rPr>
                <w:rFonts w:hint="eastAsia" w:ascii="Times New Roman" w:hAnsi="Times New Roman" w:eastAsia="仿宋_GB2312"/>
                <w:sz w:val="20"/>
                <w:szCs w:val="20"/>
                <w:lang w:bidi="en-US"/>
              </w:rPr>
              <w:t>3</w:t>
            </w:r>
            <w:r>
              <w:rPr>
                <w:rFonts w:ascii="Times New Roman" w:hAnsi="Times New Roman" w:eastAsia="仿宋_GB2312"/>
                <w:sz w:val="20"/>
                <w:szCs w:val="20"/>
                <w:lang w:bidi="en-US"/>
              </w:rPr>
              <w:t>°；</w:t>
            </w:r>
          </w:p>
          <w:p w14:paraId="0CD72A08">
            <w:pPr>
              <w:numPr>
                <w:ilvl w:val="0"/>
                <w:numId w:val="3"/>
              </w:numPr>
              <w:spacing w:line="26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舱外安装空间</w:t>
            </w:r>
            <w:r>
              <w:rPr>
                <w:rFonts w:ascii="Times New Roman" w:hAnsi="Times New Roman" w:eastAsia="仿宋_GB2312"/>
                <w:sz w:val="20"/>
                <w:szCs w:val="20"/>
                <w:lang w:bidi="en-US"/>
              </w:rPr>
              <w:t>：</w:t>
            </w:r>
          </w:p>
          <w:p w14:paraId="528C7B52">
            <w:pPr>
              <w:spacing w:line="260" w:lineRule="exact"/>
              <w:ind w:firstLine="500" w:firstLineChars="250"/>
              <w:rPr>
                <w:rFonts w:ascii="Times New Roman" w:hAnsi="Times New Roman" w:eastAsia="仿宋_GB2312"/>
                <w:sz w:val="20"/>
                <w:szCs w:val="20"/>
                <w:lang w:bidi="en-US"/>
              </w:rPr>
            </w:pPr>
            <w:r>
              <w:rPr>
                <w:rFonts w:hint="eastAsia" w:ascii="Times New Roman" w:hAnsi="Times New Roman" w:eastAsia="仿宋_GB2312"/>
                <w:sz w:val="20"/>
                <w:szCs w:val="20"/>
                <w:lang w:bidi="en-US"/>
              </w:rPr>
              <w:t>空间1：</w:t>
            </w:r>
            <w:r>
              <w:rPr>
                <w:rFonts w:ascii="Times New Roman" w:hAnsi="Times New Roman" w:eastAsia="仿宋_GB2312"/>
                <w:color w:val="000000"/>
                <w:sz w:val="20"/>
                <w:szCs w:val="20"/>
                <w:lang w:bidi="en-US"/>
              </w:rPr>
              <w:t>≤</w:t>
            </w:r>
            <w:r>
              <w:rPr>
                <w:rFonts w:ascii="Times New Roman" w:hAnsi="Times New Roman" w:eastAsia="仿宋_GB2312"/>
                <w:sz w:val="20"/>
                <w:szCs w:val="20"/>
                <w:lang w:bidi="en-US"/>
              </w:rPr>
              <w:t>230×235×130mm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048DF363">
            <w:pPr>
              <w:spacing w:line="260" w:lineRule="exact"/>
              <w:ind w:firstLine="500" w:firstLineChars="250"/>
              <w:rPr>
                <w:rFonts w:hint="eastAsia" w:ascii="Times New Roman" w:hAnsi="Times New Roman" w:eastAsia="仿宋_GB2312"/>
                <w:sz w:val="20"/>
                <w:szCs w:val="20"/>
                <w:lang w:bidi="en-US"/>
              </w:rPr>
            </w:pPr>
            <w:r>
              <w:rPr>
                <w:rFonts w:hint="eastAsia" w:ascii="Times New Roman" w:hAnsi="Times New Roman" w:eastAsia="仿宋_GB2312"/>
                <w:sz w:val="20"/>
                <w:szCs w:val="20"/>
                <w:lang w:bidi="en-US"/>
              </w:rPr>
              <w:t>空间2</w:t>
            </w:r>
            <w:r>
              <w:rPr>
                <w:rFonts w:ascii="Times New Roman" w:hAnsi="Times New Roman" w:eastAsia="仿宋_GB2312"/>
                <w:sz w:val="20"/>
                <w:szCs w:val="20"/>
                <w:lang w:bidi="en-US"/>
              </w:rPr>
              <w:t>：</w:t>
            </w:r>
            <w:r>
              <w:rPr>
                <w:rFonts w:ascii="Times New Roman" w:hAnsi="Times New Roman" w:eastAsia="仿宋_GB2312"/>
                <w:color w:val="000000"/>
                <w:sz w:val="20"/>
                <w:szCs w:val="20"/>
                <w:lang w:bidi="en-US"/>
              </w:rPr>
              <w:t>≤</w:t>
            </w:r>
            <w:r>
              <w:rPr>
                <w:rFonts w:ascii="Times New Roman" w:hAnsi="Times New Roman" w:eastAsia="仿宋_GB2312"/>
                <w:sz w:val="20"/>
                <w:szCs w:val="20"/>
                <w:lang w:bidi="en-US"/>
              </w:rPr>
              <w:t>230×75×80mm</w:t>
            </w:r>
            <w:r>
              <w:rPr>
                <w:rFonts w:ascii="Times New Roman" w:hAnsi="Times New Roman" w:eastAsia="仿宋_GB2312"/>
                <w:sz w:val="20"/>
                <w:szCs w:val="20"/>
                <w:vertAlign w:val="superscript"/>
                <w:lang w:bidi="en-US"/>
              </w:rPr>
              <w:t>3</w:t>
            </w:r>
            <w:r>
              <w:rPr>
                <w:rFonts w:hint="eastAsia" w:ascii="Times New Roman" w:hAnsi="Times New Roman" w:eastAsia="仿宋_GB2312"/>
                <w:sz w:val="20"/>
                <w:szCs w:val="20"/>
                <w:lang w:bidi="en-US"/>
              </w:rPr>
              <w:t>；</w:t>
            </w:r>
          </w:p>
          <w:p w14:paraId="3196600D">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功  耗：≤60W；</w:t>
            </w:r>
          </w:p>
          <w:p w14:paraId="763D9C02">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重量（含内部电缆）：≤5.5kg；</w:t>
            </w:r>
          </w:p>
          <w:p w14:paraId="249A9171">
            <w:pPr>
              <w:numPr>
                <w:ilvl w:val="0"/>
                <w:numId w:val="3"/>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寿命：飞行时间≥19个月，火面工作≥90个火星日。</w:t>
            </w:r>
          </w:p>
        </w:tc>
      </w:tr>
      <w:tr w14:paraId="1610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noWrap w:val="0"/>
            <w:vAlign w:val="center"/>
          </w:tcPr>
          <w:p w14:paraId="7EDF7BAC">
            <w:pPr>
              <w:numPr>
                <w:ilvl w:val="0"/>
                <w:numId w:val="1"/>
              </w:numPr>
              <w:spacing w:line="260" w:lineRule="exact"/>
              <w:ind w:left="0" w:firstLine="0"/>
              <w:jc w:val="center"/>
              <w:rPr>
                <w:rFonts w:ascii="Times New Roman" w:hAnsi="Times New Roman" w:eastAsia="仿宋_GB2312"/>
                <w:sz w:val="20"/>
                <w:szCs w:val="20"/>
                <w:lang w:bidi="en-US"/>
              </w:rPr>
            </w:pPr>
          </w:p>
        </w:tc>
        <w:tc>
          <w:tcPr>
            <w:tcW w:w="475" w:type="dxa"/>
            <w:vMerge w:val="continue"/>
            <w:noWrap w:val="0"/>
            <w:vAlign w:val="center"/>
          </w:tcPr>
          <w:p w14:paraId="78B7C54D">
            <w:pPr>
              <w:spacing w:line="260" w:lineRule="exact"/>
              <w:jc w:val="center"/>
              <w:rPr>
                <w:rFonts w:ascii="Times New Roman" w:hAnsi="Times New Roman" w:eastAsia="仿宋_GB2312"/>
                <w:sz w:val="20"/>
                <w:szCs w:val="20"/>
                <w:lang w:bidi="en-US"/>
              </w:rPr>
            </w:pPr>
          </w:p>
        </w:tc>
        <w:tc>
          <w:tcPr>
            <w:tcW w:w="1198" w:type="dxa"/>
            <w:noWrap w:val="0"/>
            <w:vAlign w:val="center"/>
          </w:tcPr>
          <w:p w14:paraId="2404DB39">
            <w:p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超宽带探测雷达</w:t>
            </w:r>
          </w:p>
        </w:tc>
        <w:tc>
          <w:tcPr>
            <w:tcW w:w="2646" w:type="dxa"/>
            <w:noWrap w:val="0"/>
            <w:vAlign w:val="center"/>
          </w:tcPr>
          <w:p w14:paraId="08F97F3A">
            <w:p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获取采样区浅表层分层结构科学数据，可为火星的水-岩石-大气演化研究提供依据，为钻取采样提供信息支撑。</w:t>
            </w:r>
          </w:p>
        </w:tc>
        <w:tc>
          <w:tcPr>
            <w:tcW w:w="3789" w:type="dxa"/>
            <w:noWrap w:val="0"/>
            <w:vAlign w:val="center"/>
          </w:tcPr>
          <w:p w14:paraId="59AA7920">
            <w:pPr>
              <w:pStyle w:val="8"/>
              <w:numPr>
                <w:ilvl w:val="0"/>
                <w:numId w:val="4"/>
              </w:numPr>
              <w:spacing w:line="26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具备对着陆区浅层进行单极化探测的功能；</w:t>
            </w:r>
          </w:p>
          <w:p w14:paraId="015241F8">
            <w:pPr>
              <w:pStyle w:val="8"/>
              <w:numPr>
                <w:ilvl w:val="0"/>
                <w:numId w:val="4"/>
              </w:numPr>
              <w:spacing w:line="260" w:lineRule="exact"/>
              <w:ind w:left="400" w:hanging="400" w:hangingChars="200"/>
              <w:rPr>
                <w:rFonts w:ascii="Times New Roman" w:hAnsi="Times New Roman" w:eastAsia="仿宋_GB2312"/>
                <w:sz w:val="20"/>
                <w:szCs w:val="20"/>
                <w:lang w:bidi="en-US"/>
              </w:rPr>
            </w:pPr>
            <w:r>
              <w:rPr>
                <w:rFonts w:hint="eastAsia" w:ascii="Times New Roman" w:hAnsi="Times New Roman" w:eastAsia="仿宋_GB2312"/>
                <w:sz w:val="20"/>
                <w:szCs w:val="20"/>
                <w:lang w:bidi="en-US"/>
              </w:rPr>
              <w:t>具备</w:t>
            </w:r>
            <w:r>
              <w:rPr>
                <w:rFonts w:ascii="Times New Roman" w:hAnsi="Times New Roman" w:eastAsia="仿宋_GB2312"/>
                <w:sz w:val="20"/>
                <w:szCs w:val="20"/>
                <w:lang w:bidi="en-US"/>
              </w:rPr>
              <w:t>探测火壤</w:t>
            </w:r>
            <w:r>
              <w:rPr>
                <w:rFonts w:hint="eastAsia" w:ascii="Times New Roman" w:hAnsi="Times New Roman" w:eastAsia="仿宋_GB2312"/>
                <w:sz w:val="20"/>
                <w:szCs w:val="20"/>
                <w:lang w:bidi="en-US"/>
              </w:rPr>
              <w:t>分层结构和三维成像</w:t>
            </w:r>
            <w:r>
              <w:rPr>
                <w:rFonts w:ascii="Times New Roman" w:hAnsi="Times New Roman" w:eastAsia="仿宋_GB2312"/>
                <w:sz w:val="20"/>
                <w:szCs w:val="20"/>
                <w:lang w:bidi="en-US"/>
              </w:rPr>
              <w:t>功能。</w:t>
            </w:r>
          </w:p>
        </w:tc>
        <w:tc>
          <w:tcPr>
            <w:tcW w:w="5110" w:type="dxa"/>
            <w:noWrap w:val="0"/>
            <w:vAlign w:val="center"/>
          </w:tcPr>
          <w:p w14:paraId="5A77C598">
            <w:pPr>
              <w:numPr>
                <w:ilvl w:val="0"/>
                <w:numId w:val="5"/>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工作体制：无载频脉冲；</w:t>
            </w:r>
          </w:p>
          <w:p w14:paraId="3B83023D">
            <w:pPr>
              <w:numPr>
                <w:ilvl w:val="0"/>
                <w:numId w:val="5"/>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工作频段：0.8～2.8GHz；</w:t>
            </w:r>
          </w:p>
          <w:p w14:paraId="2B919D09">
            <w:pPr>
              <w:numPr>
                <w:ilvl w:val="0"/>
                <w:numId w:val="5"/>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探测深度：≥2m@（εr=3.4、tand=0.005）；</w:t>
            </w:r>
          </w:p>
          <w:p w14:paraId="7CEA56E5">
            <w:pPr>
              <w:numPr>
                <w:ilvl w:val="0"/>
                <w:numId w:val="5"/>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深度分辨率：≤5cm；</w:t>
            </w:r>
          </w:p>
          <w:p w14:paraId="111AA8C1">
            <w:pPr>
              <w:numPr>
                <w:ilvl w:val="0"/>
                <w:numId w:val="5"/>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天线电压驻波比：≤2；</w:t>
            </w:r>
          </w:p>
          <w:p w14:paraId="52448666">
            <w:pPr>
              <w:numPr>
                <w:ilvl w:val="0"/>
                <w:numId w:val="5"/>
              </w:numPr>
              <w:spacing w:line="260" w:lineRule="exact"/>
              <w:rPr>
                <w:rFonts w:ascii="Times New Roman" w:hAnsi="Times New Roman" w:eastAsia="仿宋_GB2312"/>
                <w:sz w:val="20"/>
                <w:szCs w:val="20"/>
                <w:lang w:bidi="en-US"/>
              </w:rPr>
            </w:pPr>
            <w:r>
              <w:rPr>
                <w:rFonts w:ascii="Times New Roman" w:hAnsi="Times New Roman" w:eastAsia="仿宋_GB2312"/>
                <w:sz w:val="20"/>
                <w:szCs w:val="20"/>
                <w:lang w:bidi="en-US"/>
              </w:rPr>
              <w:t>发射脉冲幅度</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≥20V；</w:t>
            </w:r>
          </w:p>
          <w:p w14:paraId="580E3411">
            <w:pPr>
              <w:numPr>
                <w:ilvl w:val="0"/>
                <w:numId w:val="5"/>
              </w:numPr>
              <w:spacing w:line="26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舱外</w:t>
            </w:r>
            <w:r>
              <w:rPr>
                <w:rFonts w:ascii="Times New Roman" w:hAnsi="Times New Roman" w:eastAsia="仿宋_GB2312"/>
                <w:sz w:val="20"/>
                <w:szCs w:val="20"/>
                <w:lang w:bidi="en-US"/>
              </w:rPr>
              <w:t>天线安装位置</w:t>
            </w:r>
            <w:r>
              <w:rPr>
                <w:rFonts w:hint="eastAsia" w:ascii="Times New Roman" w:hAnsi="Times New Roman" w:eastAsia="仿宋_GB2312"/>
                <w:sz w:val="20"/>
                <w:szCs w:val="20"/>
                <w:lang w:bidi="en-US"/>
              </w:rPr>
              <w:t>数量：</w:t>
            </w:r>
            <w:r>
              <w:rPr>
                <w:rFonts w:ascii="Times New Roman" w:hAnsi="Times New Roman" w:eastAsia="仿宋_GB2312"/>
                <w:sz w:val="20"/>
                <w:szCs w:val="20"/>
                <w:lang w:bidi="en-US"/>
              </w:rPr>
              <w:t>≤5；</w:t>
            </w:r>
          </w:p>
          <w:p w14:paraId="0C791544">
            <w:pPr>
              <w:numPr>
                <w:ilvl w:val="0"/>
                <w:numId w:val="5"/>
              </w:numPr>
              <w:spacing w:line="26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舱外安装空间</w:t>
            </w:r>
            <w:r>
              <w:rPr>
                <w:rFonts w:ascii="Times New Roman" w:hAnsi="Times New Roman" w:eastAsia="仿宋_GB2312"/>
                <w:sz w:val="20"/>
                <w:szCs w:val="20"/>
                <w:lang w:bidi="en-US"/>
              </w:rPr>
              <w:t>：</w:t>
            </w:r>
          </w:p>
          <w:p w14:paraId="2B39653A">
            <w:pPr>
              <w:pStyle w:val="8"/>
              <w:spacing w:line="260" w:lineRule="exact"/>
              <w:ind w:left="360" w:firstLine="0" w:firstLineChars="0"/>
              <w:rPr>
                <w:rFonts w:ascii="Times New Roman" w:hAnsi="Times New Roman" w:eastAsia="仿宋_GB2312"/>
                <w:sz w:val="20"/>
                <w:szCs w:val="20"/>
                <w:lang w:bidi="en-US"/>
              </w:rPr>
            </w:pPr>
            <w:r>
              <w:rPr>
                <w:rFonts w:hint="eastAsia" w:ascii="Times New Roman" w:hAnsi="Times New Roman" w:eastAsia="仿宋_GB2312"/>
                <w:sz w:val="20"/>
                <w:szCs w:val="20"/>
                <w:lang w:bidi="en-US"/>
              </w:rPr>
              <w:t>空间</w:t>
            </w:r>
            <w:r>
              <w:rPr>
                <w:rFonts w:ascii="Times New Roman" w:hAnsi="Times New Roman" w:eastAsia="仿宋_GB2312"/>
                <w:sz w:val="20"/>
                <w:szCs w:val="20"/>
                <w:lang w:bidi="en-US"/>
              </w:rPr>
              <w:t>1：≤480×90×120mm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06A8AFEF">
            <w:pPr>
              <w:pStyle w:val="8"/>
              <w:spacing w:line="260" w:lineRule="exact"/>
              <w:ind w:left="360" w:firstLine="0" w:firstLineChars="0"/>
              <w:rPr>
                <w:rFonts w:ascii="Times New Roman" w:hAnsi="Times New Roman" w:eastAsia="仿宋_GB2312"/>
                <w:sz w:val="20"/>
                <w:szCs w:val="20"/>
                <w:lang w:bidi="en-US"/>
              </w:rPr>
            </w:pPr>
            <w:r>
              <w:rPr>
                <w:rFonts w:hint="eastAsia" w:ascii="Times New Roman" w:hAnsi="Times New Roman" w:eastAsia="仿宋_GB2312"/>
                <w:sz w:val="20"/>
                <w:szCs w:val="20"/>
                <w:lang w:bidi="en-US"/>
              </w:rPr>
              <w:t>空间</w:t>
            </w:r>
            <w:r>
              <w:rPr>
                <w:rFonts w:ascii="Times New Roman" w:hAnsi="Times New Roman" w:eastAsia="仿宋_GB2312"/>
                <w:sz w:val="20"/>
                <w:szCs w:val="20"/>
                <w:lang w:bidi="en-US"/>
              </w:rPr>
              <w:t>2：≤140×120×120mm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03BD9751">
            <w:pPr>
              <w:pStyle w:val="8"/>
              <w:spacing w:line="300" w:lineRule="exact"/>
              <w:ind w:left="363" w:firstLine="0" w:firstLineChars="0"/>
              <w:rPr>
                <w:rFonts w:ascii="Times New Roman" w:hAnsi="Times New Roman" w:eastAsia="仿宋_GB2312"/>
                <w:sz w:val="20"/>
                <w:szCs w:val="20"/>
                <w:lang w:bidi="en-US"/>
              </w:rPr>
            </w:pPr>
            <w:r>
              <w:rPr>
                <w:rFonts w:hint="eastAsia" w:ascii="Times New Roman" w:hAnsi="Times New Roman" w:eastAsia="仿宋_GB2312"/>
                <w:sz w:val="20"/>
                <w:szCs w:val="20"/>
                <w:lang w:bidi="en-US"/>
              </w:rPr>
              <w:t>空间</w:t>
            </w:r>
            <w:r>
              <w:rPr>
                <w:rFonts w:ascii="Times New Roman" w:hAnsi="Times New Roman" w:eastAsia="仿宋_GB2312"/>
                <w:sz w:val="20"/>
                <w:szCs w:val="20"/>
                <w:lang w:bidi="en-US"/>
              </w:rPr>
              <w:t>3：≤400×120×120mm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399986F8">
            <w:pPr>
              <w:pStyle w:val="8"/>
              <w:spacing w:line="300" w:lineRule="exact"/>
              <w:ind w:left="363" w:firstLine="0" w:firstLineChars="0"/>
              <w:rPr>
                <w:rFonts w:ascii="Times New Roman" w:hAnsi="Times New Roman" w:eastAsia="仿宋_GB2312"/>
                <w:sz w:val="20"/>
                <w:szCs w:val="20"/>
                <w:lang w:bidi="en-US"/>
              </w:rPr>
            </w:pPr>
            <w:r>
              <w:rPr>
                <w:rFonts w:hint="eastAsia" w:ascii="Times New Roman" w:hAnsi="Times New Roman" w:eastAsia="仿宋_GB2312"/>
                <w:sz w:val="20"/>
                <w:szCs w:val="20"/>
                <w:lang w:bidi="en-US"/>
              </w:rPr>
              <w:t>空间</w:t>
            </w:r>
            <w:r>
              <w:rPr>
                <w:rFonts w:ascii="Times New Roman" w:hAnsi="Times New Roman" w:eastAsia="仿宋_GB2312"/>
                <w:sz w:val="20"/>
                <w:szCs w:val="20"/>
                <w:lang w:bidi="en-US"/>
              </w:rPr>
              <w:t>4：≤140×120×120mm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40C410CE">
            <w:pPr>
              <w:pStyle w:val="8"/>
              <w:spacing w:line="300" w:lineRule="exact"/>
              <w:ind w:left="363" w:firstLine="0" w:firstLineChars="0"/>
              <w:rPr>
                <w:rFonts w:ascii="Times New Roman" w:hAnsi="Times New Roman" w:eastAsia="仿宋_GB2312"/>
                <w:sz w:val="20"/>
                <w:szCs w:val="20"/>
                <w:lang w:bidi="en-US"/>
              </w:rPr>
            </w:pPr>
            <w:r>
              <w:rPr>
                <w:rFonts w:hint="eastAsia" w:ascii="Times New Roman" w:hAnsi="Times New Roman" w:eastAsia="仿宋_GB2312"/>
                <w:sz w:val="20"/>
                <w:szCs w:val="20"/>
                <w:lang w:bidi="en-US"/>
              </w:rPr>
              <w:t>空间</w:t>
            </w:r>
            <w:r>
              <w:rPr>
                <w:rFonts w:ascii="Times New Roman" w:hAnsi="Times New Roman" w:eastAsia="仿宋_GB2312"/>
                <w:sz w:val="20"/>
                <w:szCs w:val="20"/>
                <w:lang w:bidi="en-US"/>
              </w:rPr>
              <w:t>5：≤260×60×120mm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1B053AF1">
            <w:pPr>
              <w:numPr>
                <w:ilvl w:val="0"/>
                <w:numId w:val="5"/>
              </w:numPr>
              <w:spacing w:line="300" w:lineRule="exact"/>
              <w:ind w:left="363"/>
              <w:rPr>
                <w:rFonts w:ascii="Times New Roman" w:hAnsi="Times New Roman" w:eastAsia="仿宋_GB2312"/>
                <w:sz w:val="20"/>
                <w:szCs w:val="20"/>
                <w:lang w:bidi="en-US"/>
              </w:rPr>
            </w:pPr>
            <w:r>
              <w:rPr>
                <w:rFonts w:hint="eastAsia" w:ascii="Times New Roman" w:hAnsi="Times New Roman" w:eastAsia="仿宋_GB2312"/>
                <w:sz w:val="20"/>
                <w:szCs w:val="20"/>
                <w:lang w:bidi="en-US"/>
              </w:rPr>
              <w:t>舱内安装空间</w:t>
            </w:r>
            <w:r>
              <w:rPr>
                <w:rFonts w:ascii="Times New Roman" w:hAnsi="Times New Roman" w:eastAsia="仿宋_GB2312"/>
                <w:sz w:val="20"/>
                <w:szCs w:val="20"/>
                <w:lang w:bidi="en-US"/>
              </w:rPr>
              <w:t>：</w:t>
            </w:r>
            <w:r>
              <w:rPr>
                <w:rFonts w:ascii="Times New Roman" w:hAnsi="Times New Roman" w:eastAsia="仿宋_GB2312"/>
                <w:color w:val="000000"/>
                <w:sz w:val="20"/>
                <w:szCs w:val="20"/>
                <w:lang w:bidi="en-US"/>
              </w:rPr>
              <w:t>≤</w:t>
            </w:r>
            <w:r>
              <w:rPr>
                <w:rFonts w:ascii="Times New Roman" w:hAnsi="Times New Roman" w:eastAsia="仿宋_GB2312"/>
                <w:sz w:val="20"/>
                <w:szCs w:val="20"/>
                <w:lang w:bidi="en-US"/>
              </w:rPr>
              <w:t>160×240×60mm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191DE0AC">
            <w:pPr>
              <w:numPr>
                <w:ilvl w:val="0"/>
                <w:numId w:val="5"/>
              </w:numPr>
              <w:spacing w:line="300" w:lineRule="exact"/>
              <w:ind w:left="363"/>
              <w:rPr>
                <w:rFonts w:ascii="Times New Roman" w:hAnsi="Times New Roman" w:eastAsia="仿宋_GB2312"/>
                <w:sz w:val="20"/>
                <w:szCs w:val="20"/>
                <w:lang w:bidi="en-US"/>
              </w:rPr>
            </w:pPr>
            <w:r>
              <w:rPr>
                <w:rFonts w:ascii="Times New Roman" w:hAnsi="Times New Roman" w:eastAsia="仿宋_GB2312"/>
                <w:sz w:val="20"/>
                <w:szCs w:val="20"/>
                <w:lang w:bidi="en-US"/>
              </w:rPr>
              <w:t>功耗：≤15W</w:t>
            </w:r>
            <w:r>
              <w:rPr>
                <w:rFonts w:hint="eastAsia" w:ascii="Times New Roman" w:hAnsi="Times New Roman" w:eastAsia="仿宋_GB2312"/>
                <w:sz w:val="20"/>
                <w:szCs w:val="20"/>
                <w:lang w:bidi="en-US"/>
              </w:rPr>
              <w:t>；</w:t>
            </w:r>
          </w:p>
          <w:p w14:paraId="57F2BD4F">
            <w:pPr>
              <w:numPr>
                <w:ilvl w:val="0"/>
                <w:numId w:val="5"/>
              </w:numPr>
              <w:spacing w:line="300" w:lineRule="exact"/>
              <w:ind w:left="363"/>
              <w:rPr>
                <w:rFonts w:ascii="Times New Roman" w:hAnsi="Times New Roman" w:eastAsia="仿宋_GB2312"/>
                <w:sz w:val="20"/>
                <w:szCs w:val="20"/>
                <w:lang w:bidi="en-US"/>
              </w:rPr>
            </w:pPr>
            <w:r>
              <w:rPr>
                <w:rFonts w:ascii="Times New Roman" w:hAnsi="Times New Roman" w:eastAsia="仿宋_GB2312"/>
                <w:sz w:val="20"/>
                <w:szCs w:val="20"/>
                <w:lang w:bidi="en-US"/>
              </w:rPr>
              <w:t>重量（含内部电缆）：≤4.0kg；</w:t>
            </w:r>
          </w:p>
          <w:p w14:paraId="4E54B193">
            <w:pPr>
              <w:numPr>
                <w:ilvl w:val="0"/>
                <w:numId w:val="5"/>
              </w:numPr>
              <w:spacing w:line="300" w:lineRule="exact"/>
              <w:ind w:left="363"/>
              <w:rPr>
                <w:rFonts w:ascii="Times New Roman" w:hAnsi="Times New Roman" w:eastAsia="仿宋_GB2312"/>
                <w:sz w:val="20"/>
                <w:szCs w:val="20"/>
                <w:lang w:bidi="en-US"/>
              </w:rPr>
            </w:pPr>
            <w:r>
              <w:rPr>
                <w:rFonts w:ascii="Times New Roman" w:hAnsi="Times New Roman" w:eastAsia="仿宋_GB2312"/>
                <w:sz w:val="20"/>
                <w:szCs w:val="20"/>
                <w:lang w:bidi="en-US"/>
              </w:rPr>
              <w:t>寿命：飞行时间≥19个月，火面工作≥90个火星日。</w:t>
            </w:r>
          </w:p>
        </w:tc>
      </w:tr>
      <w:tr w14:paraId="2009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noWrap w:val="0"/>
            <w:vAlign w:val="center"/>
          </w:tcPr>
          <w:p w14:paraId="34BCCA71">
            <w:pPr>
              <w:numPr>
                <w:ilvl w:val="0"/>
                <w:numId w:val="1"/>
              </w:numPr>
              <w:spacing w:line="260" w:lineRule="exact"/>
              <w:ind w:left="0" w:firstLine="0"/>
              <w:jc w:val="center"/>
              <w:rPr>
                <w:rFonts w:ascii="Times New Roman" w:hAnsi="Times New Roman" w:eastAsia="仿宋_GB2312"/>
                <w:sz w:val="20"/>
                <w:szCs w:val="20"/>
                <w:lang w:bidi="en-US"/>
              </w:rPr>
            </w:pPr>
          </w:p>
        </w:tc>
        <w:tc>
          <w:tcPr>
            <w:tcW w:w="475" w:type="dxa"/>
            <w:vMerge w:val="restart"/>
            <w:noWrap w:val="0"/>
            <w:vAlign w:val="center"/>
          </w:tcPr>
          <w:p w14:paraId="397F1391">
            <w:pPr>
              <w:spacing w:line="260" w:lineRule="exact"/>
              <w:jc w:val="center"/>
              <w:rPr>
                <w:rFonts w:ascii="Times New Roman" w:hAnsi="Times New Roman" w:eastAsia="仿宋_GB2312"/>
                <w:sz w:val="20"/>
                <w:szCs w:val="20"/>
                <w:lang w:bidi="en-US"/>
              </w:rPr>
            </w:pPr>
            <w:r>
              <w:rPr>
                <w:rFonts w:ascii="Times New Roman" w:hAnsi="Times New Roman" w:eastAsia="仿宋_GB2312"/>
                <w:sz w:val="20"/>
                <w:szCs w:val="20"/>
                <w:lang w:bidi="en-US"/>
              </w:rPr>
              <w:t>轨道器</w:t>
            </w:r>
          </w:p>
        </w:tc>
        <w:tc>
          <w:tcPr>
            <w:tcW w:w="1198" w:type="dxa"/>
            <w:noWrap w:val="0"/>
            <w:vAlign w:val="center"/>
          </w:tcPr>
          <w:p w14:paraId="61F74B9A">
            <w:pPr>
              <w:spacing w:line="280" w:lineRule="exact"/>
              <w:rPr>
                <w:rFonts w:ascii="Times New Roman" w:hAnsi="Times New Roman" w:eastAsia="仿宋_GB2312"/>
                <w:sz w:val="20"/>
                <w:szCs w:val="20"/>
                <w:lang w:bidi="en-US"/>
              </w:rPr>
            </w:pPr>
            <w:bookmarkStart w:id="4" w:name="_Hlk183030482"/>
            <w:r>
              <w:rPr>
                <w:rFonts w:ascii="Times New Roman" w:hAnsi="Times New Roman" w:eastAsia="仿宋_GB2312"/>
                <w:sz w:val="20"/>
                <w:szCs w:val="20"/>
                <w:lang w:bidi="en-US"/>
              </w:rPr>
              <w:t>中红外超精细成像光谱仪</w:t>
            </w:r>
            <w:bookmarkEnd w:id="4"/>
          </w:p>
        </w:tc>
        <w:tc>
          <w:tcPr>
            <w:tcW w:w="2646" w:type="dxa"/>
            <w:noWrap w:val="0"/>
            <w:vAlign w:val="center"/>
          </w:tcPr>
          <w:p w14:paraId="75D8A7EF">
            <w:pPr>
              <w:spacing w:line="280" w:lineRule="exact"/>
              <w:rPr>
                <w:rFonts w:ascii="Times New Roman" w:hAnsi="Times New Roman" w:eastAsia="仿宋_GB2312"/>
                <w:sz w:val="20"/>
                <w:szCs w:val="20"/>
                <w:lang w:bidi="en-US"/>
              </w:rPr>
            </w:pPr>
            <w:r>
              <w:rPr>
                <w:rFonts w:ascii="Times New Roman" w:hAnsi="Times New Roman" w:eastAsia="仿宋_GB2312"/>
                <w:sz w:val="20"/>
                <w:szCs w:val="20"/>
                <w:lang w:bidi="en-US"/>
              </w:rPr>
              <w:t>获取火星大气中红外谱段高光谱成像数据，</w:t>
            </w:r>
            <w:r>
              <w:rPr>
                <w:rFonts w:hint="eastAsia" w:ascii="Times New Roman" w:hAnsi="Times New Roman" w:eastAsia="仿宋_GB2312"/>
                <w:sz w:val="20"/>
                <w:szCs w:val="20"/>
                <w:lang w:bidi="en-US"/>
              </w:rPr>
              <w:t>为</w:t>
            </w:r>
            <w:r>
              <w:rPr>
                <w:rFonts w:ascii="Times New Roman" w:hAnsi="Times New Roman" w:eastAsia="仿宋_GB2312"/>
                <w:sz w:val="20"/>
                <w:szCs w:val="20"/>
                <w:lang w:bidi="en-US"/>
              </w:rPr>
              <w:t>研究火星水和挥发分的时空演化</w:t>
            </w:r>
            <w:r>
              <w:rPr>
                <w:rFonts w:hint="eastAsia" w:ascii="Times New Roman" w:hAnsi="Times New Roman" w:eastAsia="仿宋_GB2312"/>
                <w:sz w:val="20"/>
                <w:szCs w:val="20"/>
                <w:lang w:bidi="en-US"/>
              </w:rPr>
              <w:t>研究提供支撑</w:t>
            </w:r>
            <w:r>
              <w:rPr>
                <w:rFonts w:ascii="Times New Roman" w:hAnsi="Times New Roman" w:eastAsia="仿宋_GB2312"/>
                <w:sz w:val="20"/>
                <w:szCs w:val="20"/>
                <w:lang w:bidi="en-US"/>
              </w:rPr>
              <w:t>。</w:t>
            </w:r>
          </w:p>
        </w:tc>
        <w:tc>
          <w:tcPr>
            <w:tcW w:w="3789" w:type="dxa"/>
            <w:noWrap w:val="0"/>
            <w:vAlign w:val="center"/>
          </w:tcPr>
          <w:p w14:paraId="712FDAB8">
            <w:pPr>
              <w:numPr>
                <w:ilvl w:val="0"/>
                <w:numId w:val="6"/>
              </w:numPr>
              <w:spacing w:line="28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具备中红外高光谱成像观测能力；</w:t>
            </w:r>
          </w:p>
          <w:p w14:paraId="3FCC2AEE">
            <w:pPr>
              <w:numPr>
                <w:ilvl w:val="0"/>
                <w:numId w:val="6"/>
              </w:numPr>
              <w:spacing w:line="28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具备探测火星10-80 km大气中H</w:t>
            </w:r>
            <w:r>
              <w:rPr>
                <w:rFonts w:ascii="Times New Roman" w:hAnsi="Times New Roman" w:eastAsia="仿宋_GB2312"/>
                <w:sz w:val="20"/>
                <w:szCs w:val="20"/>
                <w:vertAlign w:val="subscript"/>
                <w:lang w:bidi="en-US"/>
              </w:rPr>
              <w:t>2</w:t>
            </w:r>
            <w:r>
              <w:rPr>
                <w:rFonts w:ascii="Times New Roman" w:hAnsi="Times New Roman" w:eastAsia="仿宋_GB2312"/>
                <w:sz w:val="20"/>
                <w:szCs w:val="20"/>
                <w:lang w:bidi="en-US"/>
              </w:rPr>
              <w:t>O和</w:t>
            </w:r>
            <w:r>
              <w:rPr>
                <w:rFonts w:hint="eastAsia" w:ascii="Times New Roman" w:hAnsi="Times New Roman" w:eastAsia="仿宋_GB2312"/>
                <w:sz w:val="20"/>
                <w:szCs w:val="20"/>
                <w:lang w:bidi="en-US"/>
              </w:rPr>
              <w:t>挥发分</w:t>
            </w:r>
            <w:r>
              <w:rPr>
                <w:rFonts w:ascii="Times New Roman" w:hAnsi="Times New Roman" w:eastAsia="仿宋_GB2312"/>
                <w:sz w:val="20"/>
                <w:szCs w:val="20"/>
                <w:lang w:bidi="en-US"/>
              </w:rPr>
              <w:t xml:space="preserve">的垂直廓线功能； </w:t>
            </w:r>
          </w:p>
          <w:p w14:paraId="084D991B">
            <w:pPr>
              <w:numPr>
                <w:ilvl w:val="0"/>
                <w:numId w:val="6"/>
              </w:numPr>
              <w:spacing w:line="28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具备杂散光抑制功能；</w:t>
            </w:r>
          </w:p>
          <w:p w14:paraId="236E2082">
            <w:pPr>
              <w:numPr>
                <w:ilvl w:val="0"/>
                <w:numId w:val="6"/>
              </w:numPr>
              <w:spacing w:line="280" w:lineRule="exact"/>
              <w:ind w:left="400" w:hanging="400" w:hangingChars="200"/>
              <w:rPr>
                <w:rFonts w:ascii="Times New Roman" w:hAnsi="Times New Roman" w:eastAsia="仿宋_GB2312"/>
                <w:sz w:val="20"/>
                <w:szCs w:val="20"/>
                <w:lang w:bidi="en-US"/>
              </w:rPr>
            </w:pPr>
            <w:r>
              <w:rPr>
                <w:rFonts w:hint="eastAsia" w:ascii="Times New Roman" w:hAnsi="Times New Roman" w:eastAsia="仿宋_GB2312"/>
                <w:sz w:val="20"/>
                <w:szCs w:val="20"/>
                <w:lang w:bidi="en-US"/>
              </w:rPr>
              <w:t>具备在轨定标功能；</w:t>
            </w:r>
          </w:p>
          <w:p w14:paraId="010F3548">
            <w:pPr>
              <w:numPr>
                <w:ilvl w:val="0"/>
                <w:numId w:val="6"/>
              </w:numPr>
              <w:spacing w:line="28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具备热控功能。</w:t>
            </w:r>
          </w:p>
        </w:tc>
        <w:tc>
          <w:tcPr>
            <w:tcW w:w="5110" w:type="dxa"/>
            <w:noWrap w:val="0"/>
            <w:vAlign w:val="center"/>
          </w:tcPr>
          <w:p w14:paraId="4B2341BB">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光谱范围：2.4～3.8μm</w:t>
            </w:r>
            <w:r>
              <w:rPr>
                <w:rFonts w:ascii="Times New Roman" w:hAnsi="Times New Roman" w:eastAsia="仿宋_GB2312"/>
                <w:sz w:val="20"/>
                <w:szCs w:val="20"/>
                <w:lang w:bidi="en-US"/>
              </w:rPr>
              <w:t>；</w:t>
            </w:r>
          </w:p>
          <w:p w14:paraId="3993FE36">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光谱分辨率：≤0.2nm</w:t>
            </w:r>
            <w:r>
              <w:rPr>
                <w:rFonts w:ascii="Times New Roman" w:hAnsi="Times New Roman" w:eastAsia="仿宋_GB2312"/>
                <w:sz w:val="20"/>
                <w:szCs w:val="20"/>
                <w:lang w:bidi="en-US"/>
              </w:rPr>
              <w:t>；</w:t>
            </w:r>
          </w:p>
          <w:p w14:paraId="4DC87E04">
            <w:pPr>
              <w:numPr>
                <w:ilvl w:val="0"/>
                <w:numId w:val="7"/>
              </w:numPr>
              <w:spacing w:line="280" w:lineRule="exact"/>
              <w:ind w:left="1134" w:hanging="1134"/>
              <w:rPr>
                <w:rFonts w:ascii="Times New Roman" w:hAnsi="Times New Roman" w:eastAsia="仿宋_GB2312"/>
                <w:color w:val="000000"/>
                <w:sz w:val="20"/>
                <w:szCs w:val="20"/>
                <w:lang w:bidi="en-US"/>
              </w:rPr>
            </w:pPr>
            <w:bookmarkStart w:id="5" w:name="_Hlk183030546"/>
            <w:r>
              <w:rPr>
                <w:rFonts w:ascii="Times New Roman" w:hAnsi="Times New Roman" w:eastAsia="仿宋_GB2312"/>
                <w:color w:val="000000"/>
                <w:sz w:val="20"/>
                <w:szCs w:val="20"/>
                <w:lang w:bidi="en-US"/>
              </w:rPr>
              <w:t>视场角：≥0.6°</w:t>
            </w:r>
            <w:bookmarkEnd w:id="5"/>
            <w:r>
              <w:rPr>
                <w:rFonts w:ascii="Times New Roman" w:hAnsi="Times New Roman" w:eastAsia="仿宋_GB2312"/>
                <w:sz w:val="20"/>
                <w:szCs w:val="20"/>
                <w:lang w:bidi="en-US"/>
              </w:rPr>
              <w:t>；</w:t>
            </w:r>
          </w:p>
          <w:p w14:paraId="4B8FA656">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像元角分辨率：≤31″</w:t>
            </w:r>
            <w:r>
              <w:rPr>
                <w:rFonts w:hint="eastAsia" w:ascii="Times New Roman" w:hAnsi="Times New Roman" w:eastAsia="仿宋_GB2312"/>
                <w:sz w:val="20"/>
                <w:szCs w:val="20"/>
                <w:lang w:bidi="en-US"/>
              </w:rPr>
              <w:t>；</w:t>
            </w:r>
          </w:p>
          <w:p w14:paraId="6BF388CC">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噪声等效温差：≤0.5K@掩日模式</w:t>
            </w:r>
            <w:r>
              <w:rPr>
                <w:rFonts w:ascii="Times New Roman" w:hAnsi="Times New Roman" w:eastAsia="仿宋_GB2312"/>
                <w:sz w:val="20"/>
                <w:szCs w:val="20"/>
                <w:lang w:bidi="en-US"/>
              </w:rPr>
              <w:t>；</w:t>
            </w:r>
          </w:p>
          <w:p w14:paraId="3A502C6A">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静态MTF</w:t>
            </w:r>
            <w:r>
              <w:rPr>
                <w:rFonts w:hint="eastAsia" w:ascii="Times New Roman" w:hAnsi="Times New Roman" w:eastAsia="仿宋_GB2312"/>
                <w:color w:val="000000"/>
                <w:sz w:val="20"/>
                <w:szCs w:val="20"/>
                <w:lang w:bidi="en-US"/>
              </w:rPr>
              <w:t>：</w:t>
            </w:r>
            <w:r>
              <w:rPr>
                <w:rFonts w:ascii="Times New Roman" w:hAnsi="Times New Roman" w:eastAsia="仿宋_GB2312"/>
                <w:color w:val="000000"/>
                <w:sz w:val="20"/>
                <w:szCs w:val="20"/>
                <w:lang w:bidi="en-US"/>
              </w:rPr>
              <w:t>≥0.05</w:t>
            </w:r>
            <w:r>
              <w:rPr>
                <w:rFonts w:ascii="Times New Roman" w:hAnsi="Times New Roman" w:eastAsia="仿宋_GB2312"/>
                <w:sz w:val="20"/>
                <w:szCs w:val="20"/>
                <w:lang w:bidi="en-US"/>
              </w:rPr>
              <w:t>；</w:t>
            </w:r>
          </w:p>
          <w:p w14:paraId="59629A35">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信噪比：≥2000@0.045Wcm-</w:t>
            </w:r>
            <w:r>
              <w:rPr>
                <w:rFonts w:ascii="Times New Roman" w:hAnsi="Times New Roman" w:eastAsia="仿宋_GB2312"/>
                <w:color w:val="000000"/>
                <w:sz w:val="20"/>
                <w:szCs w:val="20"/>
                <w:vertAlign w:val="superscript"/>
                <w:lang w:bidi="en-US"/>
              </w:rPr>
              <w:t>2</w:t>
            </w:r>
            <w:r>
              <w:rPr>
                <w:rFonts w:ascii="Times New Roman" w:hAnsi="Times New Roman" w:eastAsia="仿宋_GB2312"/>
                <w:color w:val="000000"/>
                <w:sz w:val="20"/>
                <w:szCs w:val="20"/>
                <w:lang w:bidi="en-US"/>
              </w:rPr>
              <w:t>sr</w:t>
            </w:r>
            <w:r>
              <w:rPr>
                <w:rFonts w:ascii="Times New Roman" w:hAnsi="Times New Roman" w:eastAsia="仿宋_GB2312"/>
                <w:color w:val="000000"/>
                <w:sz w:val="20"/>
                <w:szCs w:val="20"/>
                <w:vertAlign w:val="superscript"/>
                <w:lang w:bidi="en-US"/>
              </w:rPr>
              <w:t>-1</w:t>
            </w:r>
            <w:r>
              <w:rPr>
                <w:rFonts w:ascii="Times New Roman" w:hAnsi="Times New Roman" w:eastAsia="仿宋_GB2312"/>
                <w:color w:val="000000"/>
                <w:sz w:val="20"/>
                <w:szCs w:val="20"/>
                <w:lang w:bidi="en-US"/>
              </w:rPr>
              <w:t>nm</w:t>
            </w:r>
            <w:r>
              <w:rPr>
                <w:rFonts w:ascii="Times New Roman" w:hAnsi="Times New Roman" w:eastAsia="仿宋_GB2312"/>
                <w:color w:val="000000"/>
                <w:sz w:val="20"/>
                <w:szCs w:val="20"/>
                <w:vertAlign w:val="superscript"/>
                <w:lang w:bidi="en-US"/>
              </w:rPr>
              <w:t>-1</w:t>
            </w:r>
            <w:r>
              <w:rPr>
                <w:rFonts w:ascii="Times New Roman" w:hAnsi="Times New Roman" w:eastAsia="仿宋_GB2312"/>
                <w:color w:val="000000"/>
                <w:sz w:val="20"/>
                <w:szCs w:val="20"/>
                <w:lang w:bidi="en-US"/>
              </w:rPr>
              <w:t>@0.5s@3000nm</w:t>
            </w:r>
            <w:r>
              <w:rPr>
                <w:rFonts w:ascii="Times New Roman" w:hAnsi="Times New Roman" w:eastAsia="仿宋_GB2312"/>
                <w:sz w:val="20"/>
                <w:szCs w:val="20"/>
                <w:lang w:bidi="en-US"/>
              </w:rPr>
              <w:t>；</w:t>
            </w:r>
          </w:p>
          <w:p w14:paraId="0F324B08">
            <w:pPr>
              <w:numPr>
                <w:ilvl w:val="0"/>
                <w:numId w:val="7"/>
              </w:numPr>
              <w:spacing w:line="280" w:lineRule="exact"/>
              <w:ind w:left="1134" w:hanging="1134"/>
              <w:rPr>
                <w:rFonts w:ascii="Times New Roman" w:hAnsi="Times New Roman" w:eastAsia="仿宋_GB2312"/>
                <w:color w:val="000000"/>
                <w:sz w:val="20"/>
                <w:szCs w:val="20"/>
                <w:lang w:bidi="en-US"/>
              </w:rPr>
            </w:pPr>
            <w:r>
              <w:rPr>
                <w:rFonts w:hint="eastAsia" w:ascii="Times New Roman" w:hAnsi="Times New Roman" w:eastAsia="仿宋_GB2312"/>
                <w:color w:val="000000"/>
                <w:sz w:val="20"/>
                <w:szCs w:val="20"/>
                <w:lang w:bidi="en-US"/>
              </w:rPr>
              <w:t>舱外安装空间</w:t>
            </w:r>
            <w:r>
              <w:rPr>
                <w:rFonts w:ascii="Times New Roman" w:hAnsi="Times New Roman" w:eastAsia="仿宋_GB2312"/>
                <w:color w:val="000000"/>
                <w:sz w:val="20"/>
                <w:szCs w:val="20"/>
                <w:lang w:bidi="en-US"/>
              </w:rPr>
              <w:t>：≤580×290×230mm</w:t>
            </w:r>
            <w:r>
              <w:rPr>
                <w:rFonts w:ascii="Times New Roman" w:hAnsi="Times New Roman" w:eastAsia="仿宋_GB2312"/>
                <w:color w:val="000000"/>
                <w:sz w:val="20"/>
                <w:szCs w:val="20"/>
                <w:vertAlign w:val="superscript"/>
                <w:lang w:bidi="en-US"/>
              </w:rPr>
              <w:t>3</w:t>
            </w:r>
            <w:r>
              <w:rPr>
                <w:rFonts w:ascii="Times New Roman" w:hAnsi="Times New Roman" w:eastAsia="仿宋_GB2312"/>
                <w:color w:val="000000"/>
                <w:sz w:val="20"/>
                <w:szCs w:val="20"/>
                <w:lang w:bidi="en-US"/>
              </w:rPr>
              <w:t>；</w:t>
            </w:r>
          </w:p>
          <w:p w14:paraId="508B3CFD">
            <w:pPr>
              <w:numPr>
                <w:ilvl w:val="0"/>
                <w:numId w:val="7"/>
              </w:numPr>
              <w:spacing w:line="280" w:lineRule="exact"/>
              <w:ind w:left="1134" w:hanging="1134"/>
              <w:rPr>
                <w:rFonts w:ascii="Times New Roman" w:hAnsi="Times New Roman" w:eastAsia="仿宋_GB2312"/>
                <w:color w:val="000000"/>
                <w:sz w:val="20"/>
                <w:szCs w:val="20"/>
                <w:lang w:bidi="en-US"/>
              </w:rPr>
            </w:pPr>
            <w:r>
              <w:rPr>
                <w:rFonts w:hint="eastAsia" w:ascii="Times New Roman" w:hAnsi="Times New Roman" w:eastAsia="仿宋_GB2312"/>
                <w:color w:val="000000"/>
                <w:sz w:val="20"/>
                <w:szCs w:val="20"/>
                <w:lang w:bidi="en-US"/>
              </w:rPr>
              <w:t>舱内安装空间</w:t>
            </w:r>
            <w:r>
              <w:rPr>
                <w:rFonts w:ascii="Times New Roman" w:hAnsi="Times New Roman" w:eastAsia="仿宋_GB2312"/>
                <w:color w:val="000000"/>
                <w:sz w:val="20"/>
                <w:szCs w:val="20"/>
                <w:lang w:bidi="en-US"/>
              </w:rPr>
              <w:t>：≤3</w:t>
            </w:r>
            <w:r>
              <w:rPr>
                <w:rFonts w:hint="eastAsia" w:ascii="Times New Roman" w:hAnsi="Times New Roman" w:eastAsia="仿宋_GB2312"/>
                <w:color w:val="000000"/>
                <w:sz w:val="20"/>
                <w:szCs w:val="20"/>
                <w:lang w:bidi="en-US"/>
              </w:rPr>
              <w:t>0</w:t>
            </w:r>
            <w:r>
              <w:rPr>
                <w:rFonts w:ascii="Times New Roman" w:hAnsi="Times New Roman" w:eastAsia="仿宋_GB2312"/>
                <w:color w:val="000000"/>
                <w:sz w:val="20"/>
                <w:szCs w:val="20"/>
                <w:lang w:bidi="en-US"/>
              </w:rPr>
              <w:t>0×2</w:t>
            </w:r>
            <w:r>
              <w:rPr>
                <w:rFonts w:hint="eastAsia" w:ascii="Times New Roman" w:hAnsi="Times New Roman" w:eastAsia="仿宋_GB2312"/>
                <w:color w:val="000000"/>
                <w:sz w:val="20"/>
                <w:szCs w:val="20"/>
                <w:lang w:bidi="en-US"/>
              </w:rPr>
              <w:t>2</w:t>
            </w:r>
            <w:r>
              <w:rPr>
                <w:rFonts w:ascii="Times New Roman" w:hAnsi="Times New Roman" w:eastAsia="仿宋_GB2312"/>
                <w:color w:val="000000"/>
                <w:sz w:val="20"/>
                <w:szCs w:val="20"/>
                <w:lang w:bidi="en-US"/>
              </w:rPr>
              <w:t>0×</w:t>
            </w:r>
            <w:r>
              <w:rPr>
                <w:rFonts w:hint="eastAsia" w:ascii="Times New Roman" w:hAnsi="Times New Roman" w:eastAsia="仿宋_GB2312"/>
                <w:color w:val="000000"/>
                <w:sz w:val="20"/>
                <w:szCs w:val="20"/>
                <w:lang w:bidi="en-US"/>
              </w:rPr>
              <w:t>6</w:t>
            </w:r>
            <w:r>
              <w:rPr>
                <w:rFonts w:ascii="Times New Roman" w:hAnsi="Times New Roman" w:eastAsia="仿宋_GB2312"/>
                <w:color w:val="000000"/>
                <w:sz w:val="20"/>
                <w:szCs w:val="20"/>
                <w:lang w:bidi="en-US"/>
              </w:rPr>
              <w:t>0mm</w:t>
            </w:r>
            <w:r>
              <w:rPr>
                <w:rFonts w:ascii="Times New Roman" w:hAnsi="Times New Roman" w:eastAsia="仿宋_GB2312"/>
                <w:color w:val="000000"/>
                <w:sz w:val="20"/>
                <w:szCs w:val="20"/>
                <w:vertAlign w:val="superscript"/>
                <w:lang w:bidi="en-US"/>
              </w:rPr>
              <w:t>3</w:t>
            </w:r>
            <w:r>
              <w:rPr>
                <w:rFonts w:ascii="Times New Roman" w:hAnsi="Times New Roman" w:eastAsia="仿宋_GB2312"/>
                <w:sz w:val="20"/>
                <w:szCs w:val="20"/>
                <w:lang w:bidi="en-US"/>
              </w:rPr>
              <w:t>；</w:t>
            </w:r>
          </w:p>
          <w:p w14:paraId="0A1FF751">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功耗：≤</w:t>
            </w:r>
            <w:r>
              <w:rPr>
                <w:rFonts w:hint="eastAsia" w:ascii="Times New Roman" w:hAnsi="Times New Roman" w:eastAsia="仿宋_GB2312"/>
                <w:color w:val="000000"/>
                <w:sz w:val="20"/>
                <w:szCs w:val="20"/>
                <w:lang w:bidi="en-US"/>
              </w:rPr>
              <w:t>70</w:t>
            </w:r>
            <w:r>
              <w:rPr>
                <w:rFonts w:ascii="Times New Roman" w:hAnsi="Times New Roman" w:eastAsia="仿宋_GB2312"/>
                <w:color w:val="000000"/>
                <w:sz w:val="20"/>
                <w:szCs w:val="20"/>
                <w:lang w:bidi="en-US"/>
              </w:rPr>
              <w:t>W</w:t>
            </w:r>
            <w:r>
              <w:rPr>
                <w:rFonts w:ascii="Times New Roman" w:hAnsi="Times New Roman" w:eastAsia="仿宋_GB2312"/>
                <w:sz w:val="20"/>
                <w:szCs w:val="20"/>
                <w:lang w:bidi="en-US"/>
              </w:rPr>
              <w:t>；</w:t>
            </w:r>
          </w:p>
          <w:p w14:paraId="6D358C74">
            <w:pPr>
              <w:numPr>
                <w:ilvl w:val="0"/>
                <w:numId w:val="7"/>
              </w:numPr>
              <w:spacing w:line="280" w:lineRule="exact"/>
              <w:ind w:left="1134" w:hanging="1134"/>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重量</w:t>
            </w:r>
            <w:r>
              <w:rPr>
                <w:rFonts w:ascii="Times New Roman" w:hAnsi="Times New Roman" w:eastAsia="仿宋_GB2312"/>
                <w:sz w:val="20"/>
                <w:szCs w:val="20"/>
                <w:lang w:bidi="en-US"/>
              </w:rPr>
              <w:t>（含</w:t>
            </w:r>
            <w:r>
              <w:rPr>
                <w:rFonts w:hint="eastAsia" w:ascii="Times New Roman" w:hAnsi="Times New Roman" w:eastAsia="仿宋_GB2312"/>
                <w:sz w:val="20"/>
                <w:szCs w:val="20"/>
                <w:lang w:bidi="en-US"/>
              </w:rPr>
              <w:t>内外部</w:t>
            </w:r>
            <w:r>
              <w:rPr>
                <w:rFonts w:ascii="Times New Roman" w:hAnsi="Times New Roman" w:eastAsia="仿宋_GB2312"/>
                <w:sz w:val="20"/>
                <w:szCs w:val="20"/>
                <w:lang w:bidi="en-US"/>
              </w:rPr>
              <w:t>电缆）</w:t>
            </w:r>
            <w:r>
              <w:rPr>
                <w:rFonts w:ascii="Times New Roman" w:hAnsi="Times New Roman" w:eastAsia="仿宋_GB2312"/>
                <w:color w:val="000000"/>
                <w:sz w:val="20"/>
                <w:szCs w:val="20"/>
                <w:lang w:bidi="en-US"/>
              </w:rPr>
              <w:t>：≤10.5kg</w:t>
            </w:r>
            <w:r>
              <w:rPr>
                <w:rFonts w:ascii="Times New Roman" w:hAnsi="Times New Roman" w:eastAsia="仿宋_GB2312"/>
                <w:sz w:val="20"/>
                <w:szCs w:val="20"/>
                <w:lang w:bidi="en-US"/>
              </w:rPr>
              <w:t>；</w:t>
            </w:r>
          </w:p>
          <w:p w14:paraId="634DD1BB">
            <w:pPr>
              <w:numPr>
                <w:ilvl w:val="0"/>
                <w:numId w:val="7"/>
              </w:numPr>
              <w:spacing w:line="280" w:lineRule="exact"/>
              <w:ind w:left="1134" w:hanging="1134"/>
              <w:rPr>
                <w:rFonts w:ascii="Times New Roman" w:hAnsi="Times New Roman" w:eastAsia="仿宋_GB2312"/>
                <w:sz w:val="20"/>
                <w:szCs w:val="20"/>
                <w:lang w:bidi="en-US"/>
              </w:rPr>
            </w:pPr>
            <w:r>
              <w:rPr>
                <w:rFonts w:ascii="Times New Roman" w:hAnsi="Times New Roman" w:eastAsia="仿宋_GB2312"/>
                <w:sz w:val="20"/>
                <w:szCs w:val="20"/>
                <w:lang w:bidi="en-US"/>
              </w:rPr>
              <w:t>寿命：≥5年。</w:t>
            </w:r>
          </w:p>
        </w:tc>
      </w:tr>
      <w:tr w14:paraId="21B3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62" w:type="dxa"/>
            <w:noWrap w:val="0"/>
            <w:vAlign w:val="center"/>
          </w:tcPr>
          <w:p w14:paraId="5DC22D72">
            <w:pPr>
              <w:numPr>
                <w:ilvl w:val="0"/>
                <w:numId w:val="1"/>
              </w:numPr>
              <w:spacing w:line="260" w:lineRule="exact"/>
              <w:ind w:left="0" w:firstLine="0"/>
              <w:jc w:val="center"/>
              <w:rPr>
                <w:rFonts w:ascii="Times New Roman" w:hAnsi="Times New Roman" w:eastAsia="仿宋_GB2312"/>
                <w:sz w:val="20"/>
                <w:szCs w:val="20"/>
                <w:lang w:bidi="en-US"/>
              </w:rPr>
            </w:pPr>
          </w:p>
        </w:tc>
        <w:tc>
          <w:tcPr>
            <w:tcW w:w="475" w:type="dxa"/>
            <w:vMerge w:val="continue"/>
            <w:noWrap w:val="0"/>
            <w:vAlign w:val="center"/>
          </w:tcPr>
          <w:p w14:paraId="0AFC6273">
            <w:pPr>
              <w:spacing w:line="260" w:lineRule="exact"/>
              <w:jc w:val="center"/>
              <w:rPr>
                <w:rFonts w:ascii="Times New Roman" w:hAnsi="Times New Roman" w:eastAsia="仿宋_GB2312"/>
                <w:sz w:val="20"/>
                <w:szCs w:val="20"/>
                <w:lang w:bidi="en-US"/>
              </w:rPr>
            </w:pPr>
          </w:p>
        </w:tc>
        <w:tc>
          <w:tcPr>
            <w:tcW w:w="1198" w:type="dxa"/>
            <w:noWrap w:val="0"/>
            <w:vAlign w:val="center"/>
          </w:tcPr>
          <w:p w14:paraId="31A59755">
            <w:pPr>
              <w:spacing w:line="280" w:lineRule="exact"/>
              <w:rPr>
                <w:rFonts w:ascii="Times New Roman" w:hAnsi="Times New Roman" w:eastAsia="仿宋_GB2312"/>
                <w:sz w:val="20"/>
                <w:szCs w:val="20"/>
                <w:lang w:bidi="en-US"/>
              </w:rPr>
            </w:pPr>
            <w:bookmarkStart w:id="6" w:name="_Hlk183030642"/>
            <w:r>
              <w:rPr>
                <w:rFonts w:ascii="Times New Roman" w:hAnsi="Times New Roman" w:eastAsia="仿宋_GB2312"/>
                <w:color w:val="000000"/>
                <w:sz w:val="20"/>
                <w:szCs w:val="20"/>
                <w:lang w:bidi="en-US"/>
              </w:rPr>
              <w:t>火星全球多色相机</w:t>
            </w:r>
            <w:bookmarkEnd w:id="6"/>
          </w:p>
        </w:tc>
        <w:tc>
          <w:tcPr>
            <w:tcW w:w="2646" w:type="dxa"/>
            <w:noWrap w:val="0"/>
            <w:vAlign w:val="center"/>
          </w:tcPr>
          <w:p w14:paraId="4D952140">
            <w:pPr>
              <w:spacing w:line="280" w:lineRule="exact"/>
              <w:rPr>
                <w:rFonts w:ascii="Times New Roman" w:hAnsi="Times New Roman" w:eastAsia="仿宋_GB2312"/>
                <w:sz w:val="20"/>
                <w:szCs w:val="20"/>
                <w:lang w:bidi="en-US"/>
              </w:rPr>
            </w:pPr>
            <w:r>
              <w:rPr>
                <w:rFonts w:ascii="Times New Roman" w:hAnsi="Times New Roman" w:eastAsia="仿宋_GB2312"/>
                <w:color w:val="000000"/>
                <w:sz w:val="20"/>
                <w:szCs w:val="20"/>
                <w:lang w:bidi="en-US"/>
              </w:rPr>
              <w:t>获取火星沙尘暴全球成像数据，分析结果用于实现至少提前1天火星沙尘预报。</w:t>
            </w:r>
          </w:p>
        </w:tc>
        <w:tc>
          <w:tcPr>
            <w:tcW w:w="3789" w:type="dxa"/>
            <w:noWrap w:val="0"/>
            <w:vAlign w:val="center"/>
          </w:tcPr>
          <w:p w14:paraId="4572BBCB">
            <w:pPr>
              <w:numPr>
                <w:ilvl w:val="0"/>
                <w:numId w:val="8"/>
              </w:numPr>
              <w:spacing w:line="280" w:lineRule="exact"/>
              <w:rPr>
                <w:rFonts w:ascii="Times New Roman" w:hAnsi="Times New Roman" w:eastAsia="仿宋_GB2312"/>
                <w:sz w:val="20"/>
                <w:szCs w:val="20"/>
                <w:lang w:bidi="en-US"/>
              </w:rPr>
            </w:pPr>
            <w:r>
              <w:rPr>
                <w:rFonts w:ascii="Times New Roman" w:hAnsi="Times New Roman" w:eastAsia="仿宋_GB2312"/>
                <w:sz w:val="20"/>
                <w:szCs w:val="20"/>
                <w:lang w:bidi="en-US"/>
              </w:rPr>
              <w:t>具备对火星表面和大气宽视场多光谱成像功能；</w:t>
            </w:r>
          </w:p>
          <w:p w14:paraId="0A3AA0F2">
            <w:pPr>
              <w:numPr>
                <w:ilvl w:val="0"/>
                <w:numId w:val="8"/>
              </w:numPr>
              <w:spacing w:line="280" w:lineRule="exact"/>
              <w:rPr>
                <w:rFonts w:ascii="Times New Roman" w:hAnsi="Times New Roman" w:eastAsia="仿宋_GB2312"/>
                <w:sz w:val="20"/>
                <w:szCs w:val="20"/>
                <w:lang w:bidi="en-US"/>
              </w:rPr>
            </w:pPr>
            <w:r>
              <w:rPr>
                <w:rFonts w:ascii="Times New Roman" w:hAnsi="Times New Roman" w:eastAsia="仿宋_GB2312"/>
                <w:sz w:val="20"/>
                <w:szCs w:val="20"/>
                <w:lang w:bidi="en-US"/>
              </w:rPr>
              <w:t>具备对火星中低纬沙尘暴活动进行彩色成像功能；</w:t>
            </w:r>
          </w:p>
          <w:p w14:paraId="2AAA42EF">
            <w:pPr>
              <w:numPr>
                <w:ilvl w:val="0"/>
                <w:numId w:val="8"/>
              </w:numPr>
              <w:spacing w:line="280" w:lineRule="exact"/>
              <w:rPr>
                <w:rFonts w:ascii="Times New Roman" w:hAnsi="Times New Roman" w:eastAsia="仿宋_GB2312"/>
                <w:sz w:val="20"/>
                <w:szCs w:val="20"/>
                <w:lang w:bidi="en-US"/>
              </w:rPr>
            </w:pPr>
            <w:r>
              <w:rPr>
                <w:rFonts w:ascii="Times New Roman" w:hAnsi="Times New Roman" w:eastAsia="仿宋_GB2312"/>
                <w:sz w:val="20"/>
                <w:szCs w:val="20"/>
                <w:lang w:bidi="en-US"/>
              </w:rPr>
              <w:t>具备杂散光抑制功能；</w:t>
            </w:r>
          </w:p>
          <w:p w14:paraId="35EB7BEB">
            <w:pPr>
              <w:numPr>
                <w:ilvl w:val="0"/>
                <w:numId w:val="8"/>
              </w:numPr>
              <w:spacing w:line="280" w:lineRule="exact"/>
              <w:rPr>
                <w:rFonts w:ascii="Times New Roman" w:hAnsi="Times New Roman" w:eastAsia="仿宋_GB2312"/>
                <w:sz w:val="20"/>
                <w:szCs w:val="20"/>
                <w:lang w:bidi="en-US"/>
              </w:rPr>
            </w:pPr>
            <w:r>
              <w:rPr>
                <w:rFonts w:ascii="Times New Roman" w:hAnsi="Times New Roman" w:eastAsia="仿宋_GB2312"/>
                <w:sz w:val="20"/>
                <w:szCs w:val="20"/>
                <w:lang w:bidi="en-US"/>
              </w:rPr>
              <w:t>具备热控功能。</w:t>
            </w:r>
          </w:p>
        </w:tc>
        <w:tc>
          <w:tcPr>
            <w:tcW w:w="5110" w:type="dxa"/>
            <w:noWrap w:val="0"/>
            <w:vAlign w:val="center"/>
          </w:tcPr>
          <w:p w14:paraId="29A4344F">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视场角：不小于130°</w:t>
            </w:r>
            <w:r>
              <w:rPr>
                <w:rFonts w:hint="eastAsia" w:ascii="Times New Roman" w:hAnsi="Times New Roman" w:eastAsia="仿宋_GB2312"/>
                <w:color w:val="000000"/>
                <w:sz w:val="20"/>
                <w:szCs w:val="20"/>
                <w:lang w:bidi="en-US"/>
              </w:rPr>
              <w:t>×</w:t>
            </w:r>
            <w:r>
              <w:rPr>
                <w:rFonts w:ascii="Times New Roman" w:hAnsi="Times New Roman" w:eastAsia="仿宋_GB2312"/>
                <w:color w:val="000000"/>
                <w:sz w:val="20"/>
                <w:szCs w:val="20"/>
                <w:lang w:bidi="en-US"/>
              </w:rPr>
              <w:t>15°</w:t>
            </w:r>
            <w:r>
              <w:rPr>
                <w:rFonts w:hint="eastAsia" w:ascii="Times New Roman" w:hAnsi="Times New Roman" w:eastAsia="仿宋_GB2312"/>
                <w:color w:val="000000"/>
                <w:sz w:val="20"/>
                <w:szCs w:val="20"/>
                <w:lang w:bidi="en-US"/>
              </w:rPr>
              <w:t>；</w:t>
            </w:r>
          </w:p>
          <w:p w14:paraId="28121941">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空间分辨率：优于2km@350km轨道高度</w:t>
            </w:r>
            <w:r>
              <w:rPr>
                <w:rFonts w:ascii="Times New Roman" w:hAnsi="Times New Roman" w:eastAsia="仿宋_GB2312"/>
                <w:sz w:val="20"/>
                <w:szCs w:val="20"/>
                <w:lang w:bidi="en-US"/>
              </w:rPr>
              <w:t>；</w:t>
            </w:r>
          </w:p>
          <w:p w14:paraId="7A6F20C6">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谱段数：不少于7个</w:t>
            </w:r>
            <w:r>
              <w:rPr>
                <w:rFonts w:ascii="Times New Roman" w:hAnsi="Times New Roman" w:eastAsia="仿宋_GB2312"/>
                <w:sz w:val="20"/>
                <w:szCs w:val="20"/>
                <w:lang w:bidi="en-US"/>
              </w:rPr>
              <w:t>；</w:t>
            </w:r>
          </w:p>
          <w:p w14:paraId="2585AECE">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通道带宽：不大于通道中心波长的10%；</w:t>
            </w:r>
          </w:p>
          <w:p w14:paraId="29ECACF4">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静态MTF：≥0.2</w:t>
            </w:r>
            <w:r>
              <w:rPr>
                <w:rFonts w:ascii="Times New Roman" w:hAnsi="Times New Roman" w:eastAsia="仿宋_GB2312"/>
                <w:sz w:val="20"/>
                <w:szCs w:val="20"/>
                <w:lang w:bidi="en-US"/>
              </w:rPr>
              <w:t>；</w:t>
            </w:r>
          </w:p>
          <w:p w14:paraId="51428DA1">
            <w:pPr>
              <w:pStyle w:val="8"/>
              <w:numPr>
                <w:ilvl w:val="0"/>
                <w:numId w:val="9"/>
              </w:numPr>
              <w:spacing w:line="280" w:lineRule="exact"/>
              <w:ind w:firstLineChars="0"/>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信噪比：优于30dB（太阳高度角≥30°）；</w:t>
            </w:r>
          </w:p>
          <w:p w14:paraId="49FE28CD">
            <w:pPr>
              <w:numPr>
                <w:ilvl w:val="0"/>
                <w:numId w:val="9"/>
              </w:numPr>
              <w:spacing w:line="280" w:lineRule="exact"/>
              <w:rPr>
                <w:rFonts w:ascii="Times New Roman" w:hAnsi="Times New Roman" w:eastAsia="仿宋_GB2312"/>
                <w:color w:val="000000"/>
                <w:sz w:val="20"/>
                <w:szCs w:val="20"/>
                <w:lang w:bidi="en-US"/>
              </w:rPr>
            </w:pPr>
            <w:r>
              <w:rPr>
                <w:rFonts w:hint="eastAsia" w:ascii="Times New Roman" w:hAnsi="Times New Roman" w:eastAsia="仿宋_GB2312"/>
                <w:color w:val="000000"/>
                <w:sz w:val="20"/>
                <w:szCs w:val="20"/>
                <w:lang w:bidi="en-US"/>
              </w:rPr>
              <w:t>舱外安装空间</w:t>
            </w:r>
            <w:r>
              <w:rPr>
                <w:rFonts w:ascii="Times New Roman" w:hAnsi="Times New Roman" w:eastAsia="仿宋_GB2312"/>
                <w:color w:val="000000"/>
                <w:sz w:val="20"/>
                <w:szCs w:val="20"/>
                <w:lang w:bidi="en-US"/>
              </w:rPr>
              <w:t>：</w:t>
            </w:r>
            <w:bookmarkStart w:id="7" w:name="OLE_LINK2"/>
            <w:r>
              <w:rPr>
                <w:rFonts w:ascii="Times New Roman" w:hAnsi="Times New Roman" w:eastAsia="仿宋_GB2312"/>
                <w:color w:val="000000"/>
                <w:sz w:val="20"/>
                <w:szCs w:val="20"/>
                <w:lang w:bidi="en-US"/>
              </w:rPr>
              <w:t>≤</w:t>
            </w:r>
            <w:bookmarkEnd w:id="7"/>
            <w:r>
              <w:rPr>
                <w:rFonts w:ascii="Times New Roman" w:hAnsi="Times New Roman" w:eastAsia="仿宋_GB2312"/>
                <w:color w:val="000000"/>
                <w:sz w:val="20"/>
                <w:szCs w:val="20"/>
                <w:lang w:bidi="en-US"/>
              </w:rPr>
              <w:t>160×170×220mm</w:t>
            </w:r>
            <w:r>
              <w:rPr>
                <w:rFonts w:ascii="Times New Roman" w:hAnsi="Times New Roman" w:eastAsia="仿宋_GB2312"/>
                <w:color w:val="000000"/>
                <w:sz w:val="20"/>
                <w:szCs w:val="20"/>
                <w:vertAlign w:val="superscript"/>
                <w:lang w:bidi="en-US"/>
              </w:rPr>
              <w:t>3</w:t>
            </w:r>
            <w:r>
              <w:rPr>
                <w:rFonts w:ascii="Times New Roman" w:hAnsi="Times New Roman" w:eastAsia="仿宋_GB2312"/>
                <w:sz w:val="20"/>
                <w:szCs w:val="20"/>
                <w:lang w:bidi="en-US"/>
              </w:rPr>
              <w:t>；</w:t>
            </w:r>
          </w:p>
          <w:p w14:paraId="788BAB57">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功耗：≤20W</w:t>
            </w:r>
            <w:r>
              <w:rPr>
                <w:rFonts w:ascii="Times New Roman" w:hAnsi="Times New Roman" w:eastAsia="仿宋_GB2312"/>
                <w:sz w:val="20"/>
                <w:szCs w:val="20"/>
                <w:lang w:bidi="en-US"/>
              </w:rPr>
              <w:t>；</w:t>
            </w:r>
          </w:p>
          <w:p w14:paraId="36938A82">
            <w:pPr>
              <w:numPr>
                <w:ilvl w:val="0"/>
                <w:numId w:val="9"/>
              </w:numPr>
              <w:spacing w:line="280" w:lineRule="exact"/>
              <w:rPr>
                <w:rFonts w:ascii="Times New Roman" w:hAnsi="Times New Roman" w:eastAsia="仿宋_GB2312"/>
                <w:color w:val="000000"/>
                <w:sz w:val="20"/>
                <w:szCs w:val="20"/>
                <w:lang w:bidi="en-US"/>
              </w:rPr>
            </w:pPr>
            <w:r>
              <w:rPr>
                <w:rFonts w:ascii="Times New Roman" w:hAnsi="Times New Roman" w:eastAsia="仿宋_GB2312"/>
                <w:color w:val="000000"/>
                <w:sz w:val="20"/>
                <w:szCs w:val="20"/>
                <w:lang w:bidi="en-US"/>
              </w:rPr>
              <w:t>重量（含</w:t>
            </w:r>
            <w:r>
              <w:rPr>
                <w:rFonts w:hint="eastAsia" w:ascii="Times New Roman" w:hAnsi="Times New Roman" w:eastAsia="仿宋_GB2312"/>
                <w:color w:val="000000"/>
                <w:sz w:val="20"/>
                <w:szCs w:val="20"/>
                <w:lang w:bidi="en-US"/>
              </w:rPr>
              <w:t>内外部</w:t>
            </w:r>
            <w:r>
              <w:rPr>
                <w:rFonts w:ascii="Times New Roman" w:hAnsi="Times New Roman" w:eastAsia="仿宋_GB2312"/>
                <w:color w:val="000000"/>
                <w:sz w:val="20"/>
                <w:szCs w:val="20"/>
                <w:lang w:bidi="en-US"/>
              </w:rPr>
              <w:t>电缆）：≤1.5kg</w:t>
            </w:r>
            <w:r>
              <w:rPr>
                <w:rFonts w:ascii="Times New Roman" w:hAnsi="Times New Roman" w:eastAsia="仿宋_GB2312"/>
                <w:sz w:val="20"/>
                <w:szCs w:val="20"/>
                <w:lang w:bidi="en-US"/>
              </w:rPr>
              <w:t>；</w:t>
            </w:r>
          </w:p>
          <w:p w14:paraId="231AA98F">
            <w:pPr>
              <w:numPr>
                <w:ilvl w:val="0"/>
                <w:numId w:val="9"/>
              </w:numPr>
              <w:spacing w:line="280" w:lineRule="exact"/>
              <w:rPr>
                <w:rFonts w:ascii="Times New Roman" w:hAnsi="Times New Roman" w:eastAsia="仿宋_GB2312"/>
                <w:sz w:val="20"/>
                <w:szCs w:val="20"/>
                <w:lang w:bidi="en-US"/>
              </w:rPr>
            </w:pPr>
            <w:r>
              <w:rPr>
                <w:rFonts w:ascii="Times New Roman" w:hAnsi="Times New Roman" w:eastAsia="仿宋_GB2312"/>
                <w:color w:val="000000"/>
                <w:sz w:val="20"/>
                <w:szCs w:val="20"/>
                <w:lang w:bidi="en-US"/>
              </w:rPr>
              <w:t>寿命：≥5年。</w:t>
            </w:r>
          </w:p>
        </w:tc>
      </w:tr>
      <w:tr w14:paraId="7B96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jc w:val="center"/>
        </w:trPr>
        <w:tc>
          <w:tcPr>
            <w:tcW w:w="462" w:type="dxa"/>
            <w:noWrap w:val="0"/>
            <w:vAlign w:val="center"/>
          </w:tcPr>
          <w:p w14:paraId="0A97A6AA">
            <w:pPr>
              <w:numPr>
                <w:ilvl w:val="0"/>
                <w:numId w:val="1"/>
              </w:numPr>
              <w:spacing w:line="260" w:lineRule="exact"/>
              <w:ind w:left="0" w:firstLine="0"/>
              <w:jc w:val="center"/>
              <w:rPr>
                <w:rFonts w:ascii="Times New Roman" w:hAnsi="Times New Roman" w:eastAsia="仿宋_GB2312"/>
                <w:sz w:val="20"/>
                <w:szCs w:val="20"/>
                <w:lang w:bidi="en-US"/>
              </w:rPr>
            </w:pPr>
          </w:p>
        </w:tc>
        <w:tc>
          <w:tcPr>
            <w:tcW w:w="475" w:type="dxa"/>
            <w:vMerge w:val="restart"/>
            <w:noWrap w:val="0"/>
            <w:vAlign w:val="center"/>
          </w:tcPr>
          <w:p w14:paraId="0FEBAF15">
            <w:pPr>
              <w:spacing w:line="260" w:lineRule="exact"/>
              <w:jc w:val="center"/>
              <w:rPr>
                <w:rFonts w:ascii="Times New Roman" w:hAnsi="Times New Roman" w:eastAsia="仿宋_GB2312"/>
                <w:sz w:val="20"/>
                <w:szCs w:val="20"/>
                <w:lang w:bidi="en-US"/>
              </w:rPr>
            </w:pPr>
            <w:r>
              <w:rPr>
                <w:rFonts w:ascii="Times New Roman" w:hAnsi="Times New Roman" w:eastAsia="仿宋_GB2312"/>
                <w:sz w:val="20"/>
                <w:szCs w:val="20"/>
                <w:lang w:bidi="en-US"/>
              </w:rPr>
              <w:t>服务器</w:t>
            </w:r>
          </w:p>
        </w:tc>
        <w:tc>
          <w:tcPr>
            <w:tcW w:w="1198" w:type="dxa"/>
            <w:noWrap w:val="0"/>
            <w:vAlign w:val="center"/>
          </w:tcPr>
          <w:p w14:paraId="3D3CC5FD">
            <w:p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沉降ENA极光探测仪</w:t>
            </w:r>
          </w:p>
        </w:tc>
        <w:tc>
          <w:tcPr>
            <w:tcW w:w="2646" w:type="dxa"/>
            <w:noWrap w:val="0"/>
            <w:vAlign w:val="center"/>
          </w:tcPr>
          <w:p w14:paraId="00C21BCA">
            <w:p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获取火星大气沉降</w:t>
            </w:r>
            <w:r>
              <w:rPr>
                <w:rFonts w:hint="eastAsia" w:ascii="Times New Roman" w:hAnsi="Times New Roman" w:eastAsia="仿宋_GB2312"/>
                <w:sz w:val="20"/>
                <w:szCs w:val="20"/>
                <w:lang w:bidi="en-US"/>
              </w:rPr>
              <w:t>中性粒子</w:t>
            </w:r>
            <w:r>
              <w:rPr>
                <w:rFonts w:ascii="Times New Roman" w:hAnsi="Times New Roman" w:eastAsia="仿宋_GB2312"/>
                <w:sz w:val="20"/>
                <w:szCs w:val="20"/>
                <w:lang w:bidi="en-US"/>
              </w:rPr>
              <w:t>、质子极光、拾起离子等探测数据，</w:t>
            </w:r>
            <w:r>
              <w:rPr>
                <w:rFonts w:hint="eastAsia" w:ascii="Times New Roman" w:hAnsi="Times New Roman" w:eastAsia="仿宋_GB2312"/>
                <w:sz w:val="20"/>
                <w:szCs w:val="20"/>
                <w:lang w:bidi="en-US"/>
              </w:rPr>
              <w:t>为</w:t>
            </w:r>
            <w:r>
              <w:rPr>
                <w:rFonts w:ascii="Times New Roman" w:hAnsi="Times New Roman" w:eastAsia="仿宋_GB2312"/>
                <w:sz w:val="20"/>
                <w:szCs w:val="20"/>
                <w:lang w:bidi="en-US"/>
              </w:rPr>
              <w:t>研究火星大气逃逸过程随太阳活动的变化规律</w:t>
            </w:r>
            <w:r>
              <w:rPr>
                <w:rFonts w:hint="eastAsia" w:ascii="Times New Roman" w:hAnsi="Times New Roman" w:eastAsia="仿宋_GB2312"/>
                <w:sz w:val="20"/>
                <w:szCs w:val="20"/>
                <w:lang w:bidi="en-US"/>
              </w:rPr>
              <w:t>提供支撑</w:t>
            </w:r>
            <w:r>
              <w:rPr>
                <w:rFonts w:ascii="Times New Roman" w:hAnsi="Times New Roman" w:eastAsia="仿宋_GB2312"/>
                <w:sz w:val="20"/>
                <w:szCs w:val="20"/>
                <w:lang w:bidi="en-US"/>
              </w:rPr>
              <w:t>。</w:t>
            </w:r>
          </w:p>
        </w:tc>
        <w:tc>
          <w:tcPr>
            <w:tcW w:w="3789" w:type="dxa"/>
            <w:noWrap w:val="0"/>
            <w:vAlign w:val="center"/>
          </w:tcPr>
          <w:p w14:paraId="680E5AA0">
            <w:pPr>
              <w:numPr>
                <w:ilvl w:val="0"/>
                <w:numId w:val="10"/>
              </w:numPr>
              <w:spacing w:line="24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具备火星空间沉降中性粒子的探测功能</w:t>
            </w:r>
            <w:r>
              <w:rPr>
                <w:rFonts w:hint="eastAsia" w:ascii="Times New Roman" w:hAnsi="Times New Roman" w:eastAsia="仿宋_GB2312"/>
                <w:sz w:val="20"/>
                <w:szCs w:val="20"/>
                <w:lang w:bidi="en-US"/>
              </w:rPr>
              <w:t>；</w:t>
            </w:r>
          </w:p>
          <w:p w14:paraId="0284D344">
            <w:pPr>
              <w:numPr>
                <w:ilvl w:val="0"/>
                <w:numId w:val="10"/>
              </w:numPr>
              <w:spacing w:line="24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具备火星质子极光光谱的探测功能；</w:t>
            </w:r>
          </w:p>
          <w:p w14:paraId="1241D7FB">
            <w:pPr>
              <w:numPr>
                <w:ilvl w:val="0"/>
                <w:numId w:val="10"/>
              </w:numPr>
              <w:spacing w:line="24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具备拾起离子的探测功能；</w:t>
            </w:r>
          </w:p>
          <w:p w14:paraId="54E856E3">
            <w:pPr>
              <w:numPr>
                <w:ilvl w:val="0"/>
                <w:numId w:val="10"/>
              </w:numPr>
              <w:spacing w:line="24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具备杂散光抑制功能；</w:t>
            </w:r>
          </w:p>
          <w:p w14:paraId="58BE360D">
            <w:pPr>
              <w:numPr>
                <w:ilvl w:val="0"/>
                <w:numId w:val="10"/>
              </w:numPr>
              <w:spacing w:line="240" w:lineRule="exact"/>
              <w:ind w:left="400" w:hanging="400" w:hangingChars="200"/>
              <w:rPr>
                <w:rFonts w:ascii="Times New Roman" w:hAnsi="Times New Roman" w:eastAsia="仿宋_GB2312"/>
                <w:sz w:val="20"/>
                <w:szCs w:val="20"/>
                <w:lang w:bidi="en-US"/>
              </w:rPr>
            </w:pPr>
            <w:r>
              <w:rPr>
                <w:rFonts w:ascii="Times New Roman" w:hAnsi="Times New Roman" w:eastAsia="仿宋_GB2312"/>
                <w:sz w:val="20"/>
                <w:szCs w:val="20"/>
                <w:lang w:bidi="en-US"/>
              </w:rPr>
              <w:t>具备热控功能。</w:t>
            </w:r>
          </w:p>
        </w:tc>
        <w:tc>
          <w:tcPr>
            <w:tcW w:w="5110" w:type="dxa"/>
            <w:noWrap w:val="0"/>
            <w:vAlign w:val="center"/>
          </w:tcPr>
          <w:p w14:paraId="2FF11BE0">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ENA能量</w:t>
            </w:r>
            <w:r>
              <w:rPr>
                <w:rFonts w:hint="eastAsia" w:ascii="Times New Roman" w:hAnsi="Times New Roman" w:eastAsia="仿宋_GB2312"/>
                <w:sz w:val="20"/>
                <w:szCs w:val="20"/>
                <w:lang w:bidi="en-US"/>
              </w:rPr>
              <w:t>探测能量范围</w:t>
            </w:r>
            <w:r>
              <w:rPr>
                <w:rFonts w:ascii="Times New Roman" w:hAnsi="Times New Roman" w:eastAsia="仿宋_GB2312"/>
                <w:sz w:val="20"/>
                <w:szCs w:val="20"/>
                <w:lang w:bidi="en-US"/>
              </w:rPr>
              <w:t>：20eV～3keV；</w:t>
            </w:r>
          </w:p>
          <w:p w14:paraId="5832C4EF">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ENA能量分辨率：&lt;80%；</w:t>
            </w:r>
          </w:p>
          <w:p w14:paraId="08017024">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ENA通量</w:t>
            </w:r>
            <w:r>
              <w:rPr>
                <w:rFonts w:hint="eastAsia" w:ascii="Times New Roman" w:hAnsi="Times New Roman" w:eastAsia="仿宋_GB2312"/>
                <w:sz w:val="20"/>
                <w:szCs w:val="20"/>
                <w:lang w:bidi="en-US"/>
              </w:rPr>
              <w:t>探测范围</w:t>
            </w:r>
            <w:r>
              <w:rPr>
                <w:rFonts w:ascii="Times New Roman" w:hAnsi="Times New Roman" w:eastAsia="仿宋_GB2312"/>
                <w:sz w:val="20"/>
                <w:szCs w:val="20"/>
                <w:lang w:bidi="en-US"/>
              </w:rPr>
              <w:t>：10</w:t>
            </w:r>
            <w:r>
              <w:rPr>
                <w:rFonts w:ascii="Times New Roman" w:hAnsi="Times New Roman" w:eastAsia="仿宋_GB2312"/>
                <w:sz w:val="20"/>
                <w:szCs w:val="20"/>
                <w:vertAlign w:val="superscript"/>
                <w:lang w:bidi="en-US"/>
              </w:rPr>
              <w:t>3</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10</w:t>
            </w:r>
            <w:r>
              <w:rPr>
                <w:rFonts w:ascii="Times New Roman" w:hAnsi="Times New Roman" w:eastAsia="仿宋_GB2312"/>
                <w:sz w:val="20"/>
                <w:szCs w:val="20"/>
                <w:vertAlign w:val="superscript"/>
                <w:lang w:bidi="en-US"/>
              </w:rPr>
              <w:t>5</w:t>
            </w:r>
            <w:r>
              <w:rPr>
                <w:rFonts w:ascii="Times New Roman" w:hAnsi="Times New Roman" w:eastAsia="仿宋_GB2312"/>
                <w:sz w:val="20"/>
                <w:szCs w:val="20"/>
                <w:lang w:bidi="en-US"/>
              </w:rPr>
              <w:t>cm</w:t>
            </w:r>
            <w:r>
              <w:rPr>
                <w:rFonts w:ascii="Times New Roman" w:hAnsi="Times New Roman" w:eastAsia="仿宋_GB2312"/>
                <w:sz w:val="20"/>
                <w:szCs w:val="20"/>
                <w:vertAlign w:val="superscript"/>
                <w:lang w:bidi="en-US"/>
              </w:rPr>
              <w:t>-2</w:t>
            </w:r>
            <w:r>
              <w:rPr>
                <w:rFonts w:ascii="Times New Roman" w:hAnsi="Times New Roman" w:eastAsia="仿宋_GB2312"/>
                <w:sz w:val="20"/>
                <w:szCs w:val="20"/>
                <w:lang w:bidi="en-US"/>
              </w:rPr>
              <w:t>s-</w:t>
            </w:r>
            <w:r>
              <w:rPr>
                <w:rFonts w:ascii="Times New Roman" w:hAnsi="Times New Roman" w:eastAsia="仿宋_GB2312"/>
                <w:sz w:val="20"/>
                <w:szCs w:val="20"/>
                <w:vertAlign w:val="superscript"/>
                <w:lang w:bidi="en-US"/>
              </w:rPr>
              <w:t>1</w:t>
            </w:r>
            <w:r>
              <w:rPr>
                <w:rFonts w:ascii="Times New Roman" w:hAnsi="Times New Roman" w:eastAsia="仿宋_GB2312"/>
                <w:sz w:val="20"/>
                <w:szCs w:val="20"/>
                <w:lang w:bidi="en-US"/>
              </w:rPr>
              <w:t>sr</w:t>
            </w:r>
            <w:r>
              <w:rPr>
                <w:rFonts w:ascii="Times New Roman" w:hAnsi="Times New Roman" w:eastAsia="仿宋_GB2312"/>
                <w:sz w:val="20"/>
                <w:szCs w:val="20"/>
                <w:vertAlign w:val="superscript"/>
                <w:lang w:bidi="en-US"/>
              </w:rPr>
              <w:t>-1</w:t>
            </w:r>
            <w:r>
              <w:rPr>
                <w:rFonts w:ascii="Times New Roman" w:hAnsi="Times New Roman" w:eastAsia="仿宋_GB2312"/>
                <w:sz w:val="20"/>
                <w:szCs w:val="20"/>
                <w:lang w:bidi="en-US"/>
              </w:rPr>
              <w:t>eV</w:t>
            </w:r>
            <w:r>
              <w:rPr>
                <w:rFonts w:ascii="Times New Roman" w:hAnsi="Times New Roman" w:eastAsia="仿宋_GB2312"/>
                <w:sz w:val="20"/>
                <w:szCs w:val="20"/>
                <w:vertAlign w:val="superscript"/>
                <w:lang w:bidi="en-US"/>
              </w:rPr>
              <w:t>-1</w:t>
            </w:r>
            <w:r>
              <w:rPr>
                <w:rFonts w:ascii="Times New Roman" w:hAnsi="Times New Roman" w:eastAsia="仿宋_GB2312"/>
                <w:sz w:val="20"/>
                <w:szCs w:val="20"/>
                <w:lang w:bidi="en-US"/>
              </w:rPr>
              <w:t>；</w:t>
            </w:r>
          </w:p>
          <w:p w14:paraId="4BC37DB7">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ENA</w:t>
            </w:r>
            <w:r>
              <w:rPr>
                <w:rFonts w:hint="eastAsia" w:ascii="Times New Roman" w:hAnsi="Times New Roman" w:eastAsia="仿宋_GB2312"/>
                <w:sz w:val="20"/>
                <w:szCs w:val="20"/>
                <w:lang w:bidi="en-US"/>
              </w:rPr>
              <w:t>探测</w:t>
            </w:r>
            <w:r>
              <w:rPr>
                <w:rFonts w:ascii="Times New Roman" w:hAnsi="Times New Roman" w:eastAsia="仿宋_GB2312"/>
                <w:sz w:val="20"/>
                <w:szCs w:val="20"/>
                <w:lang w:bidi="en-US"/>
              </w:rPr>
              <w:t>视场：180°×10°；</w:t>
            </w:r>
          </w:p>
          <w:p w14:paraId="6D7B99FE">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ENA角度分辨率：优于22.5°×10°；</w:t>
            </w:r>
          </w:p>
          <w:p w14:paraId="04C685AF">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ENA成分分辨：H、He、O组；</w:t>
            </w:r>
          </w:p>
          <w:p w14:paraId="45D495CF">
            <w:pPr>
              <w:numPr>
                <w:ilvl w:val="0"/>
                <w:numId w:val="11"/>
              </w:num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拾起</w:t>
            </w:r>
            <w:r>
              <w:rPr>
                <w:rFonts w:ascii="Times New Roman" w:hAnsi="Times New Roman" w:eastAsia="仿宋_GB2312"/>
                <w:sz w:val="20"/>
                <w:szCs w:val="20"/>
                <w:lang w:bidi="en-US"/>
              </w:rPr>
              <w:t>离子成分分辨：H</w:t>
            </w:r>
            <w:r>
              <w:rPr>
                <w:rFonts w:ascii="Times New Roman" w:hAnsi="Times New Roman" w:eastAsia="仿宋_GB2312"/>
                <w:sz w:val="20"/>
                <w:szCs w:val="20"/>
                <w:vertAlign w:val="superscript"/>
                <w:lang w:bidi="en-US"/>
              </w:rPr>
              <w:t>+</w:t>
            </w:r>
            <w:r>
              <w:rPr>
                <w:rFonts w:ascii="Times New Roman" w:hAnsi="Times New Roman" w:eastAsia="仿宋_GB2312"/>
                <w:sz w:val="20"/>
                <w:szCs w:val="20"/>
                <w:lang w:bidi="en-US"/>
              </w:rPr>
              <w:t>、He</w:t>
            </w:r>
            <w:r>
              <w:rPr>
                <w:rFonts w:ascii="Times New Roman" w:hAnsi="Times New Roman" w:eastAsia="仿宋_GB2312"/>
                <w:sz w:val="20"/>
                <w:szCs w:val="20"/>
                <w:vertAlign w:val="superscript"/>
                <w:lang w:bidi="en-US"/>
              </w:rPr>
              <w:t>+</w:t>
            </w:r>
            <w:r>
              <w:rPr>
                <w:rFonts w:ascii="Times New Roman" w:hAnsi="Times New Roman" w:eastAsia="仿宋_GB2312"/>
                <w:sz w:val="20"/>
                <w:szCs w:val="20"/>
                <w:lang w:bidi="en-US"/>
              </w:rPr>
              <w:t>、C</w:t>
            </w:r>
            <w:r>
              <w:rPr>
                <w:rFonts w:ascii="Times New Roman" w:hAnsi="Times New Roman" w:eastAsia="仿宋_GB2312"/>
                <w:sz w:val="20"/>
                <w:szCs w:val="20"/>
                <w:vertAlign w:val="superscript"/>
                <w:lang w:bidi="en-US"/>
              </w:rPr>
              <w:t>+</w:t>
            </w:r>
            <w:r>
              <w:rPr>
                <w:rFonts w:ascii="Times New Roman" w:hAnsi="Times New Roman" w:eastAsia="仿宋_GB2312"/>
                <w:sz w:val="20"/>
                <w:szCs w:val="20"/>
                <w:lang w:bidi="en-US"/>
              </w:rPr>
              <w:t>、O</w:t>
            </w:r>
            <w:r>
              <w:rPr>
                <w:rFonts w:ascii="Times New Roman" w:hAnsi="Times New Roman" w:eastAsia="仿宋_GB2312"/>
                <w:sz w:val="20"/>
                <w:szCs w:val="20"/>
                <w:vertAlign w:val="superscript"/>
                <w:lang w:bidi="en-US"/>
              </w:rPr>
              <w:t>+</w:t>
            </w:r>
            <w:r>
              <w:rPr>
                <w:rFonts w:ascii="Times New Roman" w:hAnsi="Times New Roman" w:eastAsia="仿宋_GB2312"/>
                <w:sz w:val="20"/>
                <w:szCs w:val="20"/>
                <w:lang w:bidi="en-US"/>
              </w:rPr>
              <w:t>、O</w:t>
            </w:r>
            <w:r>
              <w:rPr>
                <w:rFonts w:ascii="Times New Roman" w:hAnsi="Times New Roman" w:eastAsia="仿宋_GB2312"/>
                <w:sz w:val="20"/>
                <w:szCs w:val="20"/>
                <w:vertAlign w:val="subscript"/>
                <w:lang w:bidi="en-US"/>
              </w:rPr>
              <w:t>2</w:t>
            </w:r>
            <w:r>
              <w:rPr>
                <w:rFonts w:ascii="Times New Roman" w:hAnsi="Times New Roman" w:eastAsia="仿宋_GB2312"/>
                <w:sz w:val="20"/>
                <w:szCs w:val="20"/>
                <w:vertAlign w:val="superscript"/>
                <w:lang w:bidi="en-US"/>
              </w:rPr>
              <w:t>+</w:t>
            </w:r>
            <w:r>
              <w:rPr>
                <w:rFonts w:ascii="Times New Roman" w:hAnsi="Times New Roman" w:eastAsia="仿宋_GB2312"/>
                <w:sz w:val="20"/>
                <w:szCs w:val="20"/>
                <w:lang w:bidi="en-US"/>
              </w:rPr>
              <w:t>/CO</w:t>
            </w:r>
            <w:r>
              <w:rPr>
                <w:rFonts w:ascii="Times New Roman" w:hAnsi="Times New Roman" w:eastAsia="仿宋_GB2312"/>
                <w:sz w:val="20"/>
                <w:szCs w:val="20"/>
                <w:vertAlign w:val="subscript"/>
                <w:lang w:bidi="en-US"/>
              </w:rPr>
              <w:t>2</w:t>
            </w:r>
            <w:r>
              <w:rPr>
                <w:rFonts w:ascii="Times New Roman" w:hAnsi="Times New Roman" w:eastAsia="仿宋_GB2312"/>
                <w:sz w:val="20"/>
                <w:szCs w:val="20"/>
                <w:vertAlign w:val="superscript"/>
                <w:lang w:bidi="en-US"/>
              </w:rPr>
              <w:t>+</w:t>
            </w:r>
            <w:r>
              <w:rPr>
                <w:rFonts w:ascii="Times New Roman" w:hAnsi="Times New Roman" w:eastAsia="仿宋_GB2312"/>
                <w:sz w:val="20"/>
                <w:szCs w:val="20"/>
                <w:lang w:bidi="en-US"/>
              </w:rPr>
              <w:t>组</w:t>
            </w:r>
            <w:r>
              <w:rPr>
                <w:rFonts w:hint="eastAsia" w:ascii="Times New Roman" w:hAnsi="Times New Roman" w:eastAsia="仿宋_GB2312"/>
                <w:sz w:val="20"/>
                <w:szCs w:val="20"/>
                <w:lang w:bidi="en-US"/>
              </w:rPr>
              <w:t>；</w:t>
            </w:r>
          </w:p>
          <w:p w14:paraId="0685AB1C">
            <w:pPr>
              <w:numPr>
                <w:ilvl w:val="0"/>
                <w:numId w:val="11"/>
              </w:numPr>
              <w:spacing w:line="240" w:lineRule="exact"/>
              <w:rPr>
                <w:rFonts w:hint="eastAsia" w:ascii="Times New Roman" w:hAnsi="Times New Roman" w:eastAsia="仿宋_GB2312"/>
                <w:sz w:val="20"/>
                <w:szCs w:val="20"/>
                <w:lang w:bidi="en-US"/>
              </w:rPr>
            </w:pPr>
            <w:r>
              <w:rPr>
                <w:rFonts w:ascii="Times New Roman" w:hAnsi="Times New Roman" w:eastAsia="仿宋_GB2312"/>
                <w:sz w:val="20"/>
                <w:szCs w:val="20"/>
                <w:lang w:bidi="en-US"/>
              </w:rPr>
              <w:t>拾起离子</w:t>
            </w:r>
            <w:r>
              <w:rPr>
                <w:rFonts w:hint="eastAsia" w:ascii="Times New Roman" w:hAnsi="Times New Roman" w:eastAsia="仿宋_GB2312"/>
                <w:sz w:val="20"/>
                <w:szCs w:val="20"/>
                <w:lang w:bidi="en-US"/>
              </w:rPr>
              <w:t>探测能量范围：5eV~25keV；</w:t>
            </w:r>
          </w:p>
          <w:p w14:paraId="60C5078E">
            <w:pPr>
              <w:numPr>
                <w:ilvl w:val="0"/>
                <w:numId w:val="11"/>
              </w:num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质子极光</w:t>
            </w:r>
            <w:r>
              <w:rPr>
                <w:rFonts w:ascii="Times New Roman" w:hAnsi="Times New Roman" w:eastAsia="仿宋_GB2312"/>
                <w:sz w:val="20"/>
                <w:szCs w:val="20"/>
                <w:lang w:bidi="en-US"/>
              </w:rPr>
              <w:t>探测波段：118</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140nm；</w:t>
            </w:r>
          </w:p>
          <w:p w14:paraId="1FF80F76">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极光探测视场：</w:t>
            </w:r>
            <w:r>
              <w:rPr>
                <w:rFonts w:hint="eastAsia" w:ascii="Times New Roman" w:hAnsi="Times New Roman" w:eastAsia="仿宋_GB2312"/>
                <w:sz w:val="20"/>
                <w:szCs w:val="20"/>
                <w:lang w:bidi="en-US"/>
              </w:rPr>
              <w:t>优于</w:t>
            </w:r>
            <w:r>
              <w:rPr>
                <w:rFonts w:ascii="Times New Roman" w:hAnsi="Times New Roman" w:eastAsia="仿宋_GB2312"/>
                <w:sz w:val="20"/>
                <w:szCs w:val="20"/>
                <w:lang w:bidi="en-US"/>
              </w:rPr>
              <w:t>11°×0.5°；</w:t>
            </w:r>
          </w:p>
          <w:p w14:paraId="410B3835">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极光探测光谱分辨率：≤1.2nm；</w:t>
            </w:r>
          </w:p>
          <w:p w14:paraId="68CE5495">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极光探测信噪比：≥5@121.6nm@500R；</w:t>
            </w:r>
          </w:p>
          <w:p w14:paraId="570A7541">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极光探测角度分辨率：优于0.5°</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0.5°；</w:t>
            </w:r>
          </w:p>
          <w:p w14:paraId="11F2284D">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极光探测光子通量：10R</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10000R；</w:t>
            </w:r>
          </w:p>
          <w:p w14:paraId="33A04FB9">
            <w:pPr>
              <w:numPr>
                <w:ilvl w:val="0"/>
                <w:numId w:val="11"/>
              </w:num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舱外安装空间1</w:t>
            </w:r>
            <w:r>
              <w:rPr>
                <w:rFonts w:ascii="Times New Roman" w:hAnsi="Times New Roman" w:eastAsia="仿宋_GB2312"/>
                <w:sz w:val="20"/>
                <w:szCs w:val="20"/>
                <w:lang w:bidi="en-US"/>
              </w:rPr>
              <w:t>：≤290×260×290mm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412E5B3D">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舱外安装空间</w:t>
            </w:r>
            <w:r>
              <w:rPr>
                <w:rFonts w:hint="eastAsia" w:ascii="Times New Roman" w:hAnsi="Times New Roman" w:eastAsia="仿宋_GB2312"/>
                <w:sz w:val="20"/>
                <w:szCs w:val="20"/>
                <w:lang w:bidi="en-US"/>
              </w:rPr>
              <w:t>2</w:t>
            </w:r>
            <w:r>
              <w:rPr>
                <w:rFonts w:ascii="Times New Roman" w:hAnsi="Times New Roman" w:eastAsia="仿宋_GB2312"/>
                <w:sz w:val="20"/>
                <w:szCs w:val="20"/>
                <w:lang w:bidi="en-US"/>
              </w:rPr>
              <w:t>：≤210×200×110mm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6F682AC7">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功耗：≤20W；</w:t>
            </w:r>
          </w:p>
          <w:p w14:paraId="5914787B">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重量（含内部电缆）：≤5.6kg；</w:t>
            </w:r>
          </w:p>
          <w:p w14:paraId="775BE007">
            <w:pPr>
              <w:numPr>
                <w:ilvl w:val="0"/>
                <w:numId w:val="11"/>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寿命：环火飞行≥2个火星年。</w:t>
            </w:r>
          </w:p>
        </w:tc>
      </w:tr>
      <w:tr w14:paraId="110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462" w:type="dxa"/>
            <w:noWrap w:val="0"/>
            <w:vAlign w:val="center"/>
          </w:tcPr>
          <w:p w14:paraId="467532F1">
            <w:pPr>
              <w:numPr>
                <w:ilvl w:val="0"/>
                <w:numId w:val="1"/>
              </w:numPr>
              <w:spacing w:line="260" w:lineRule="exact"/>
              <w:ind w:left="0" w:firstLine="0"/>
              <w:jc w:val="center"/>
              <w:rPr>
                <w:rFonts w:ascii="Times New Roman" w:hAnsi="Times New Roman" w:eastAsia="仿宋_GB2312"/>
                <w:sz w:val="20"/>
                <w:szCs w:val="20"/>
                <w:lang w:bidi="en-US"/>
              </w:rPr>
            </w:pPr>
          </w:p>
        </w:tc>
        <w:tc>
          <w:tcPr>
            <w:tcW w:w="475" w:type="dxa"/>
            <w:vMerge w:val="continue"/>
            <w:noWrap w:val="0"/>
            <w:vAlign w:val="center"/>
          </w:tcPr>
          <w:p w14:paraId="27F3A279">
            <w:pPr>
              <w:spacing w:line="260" w:lineRule="exact"/>
              <w:jc w:val="center"/>
              <w:rPr>
                <w:rFonts w:ascii="Times New Roman" w:hAnsi="Times New Roman" w:eastAsia="仿宋_GB2312"/>
                <w:sz w:val="20"/>
                <w:szCs w:val="20"/>
                <w:lang w:bidi="en-US"/>
              </w:rPr>
            </w:pPr>
          </w:p>
        </w:tc>
        <w:tc>
          <w:tcPr>
            <w:tcW w:w="1198" w:type="dxa"/>
            <w:noWrap w:val="0"/>
            <w:vAlign w:val="center"/>
          </w:tcPr>
          <w:p w14:paraId="77C952AB">
            <w:pPr>
              <w:spacing w:line="240" w:lineRule="exact"/>
              <w:rPr>
                <w:rFonts w:ascii="Times New Roman" w:hAnsi="Times New Roman" w:eastAsia="仿宋_GB2312"/>
                <w:sz w:val="20"/>
                <w:szCs w:val="20"/>
                <w:lang w:bidi="en-US"/>
              </w:rPr>
            </w:pPr>
            <w:bookmarkStart w:id="8" w:name="_Hlk177995826"/>
            <w:r>
              <w:rPr>
                <w:rFonts w:ascii="Times New Roman" w:hAnsi="Times New Roman" w:eastAsia="仿宋_GB2312"/>
                <w:sz w:val="20"/>
                <w:szCs w:val="20"/>
                <w:lang w:bidi="en-US"/>
              </w:rPr>
              <w:t>高精度矢量磁强计</w:t>
            </w:r>
            <w:bookmarkEnd w:id="8"/>
          </w:p>
        </w:tc>
        <w:tc>
          <w:tcPr>
            <w:tcW w:w="2646" w:type="dxa"/>
            <w:noWrap w:val="0"/>
            <w:vAlign w:val="center"/>
          </w:tcPr>
          <w:p w14:paraId="25D1961A">
            <w:p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获取</w:t>
            </w:r>
            <w:r>
              <w:rPr>
                <w:rFonts w:ascii="Times New Roman" w:hAnsi="Times New Roman" w:eastAsia="仿宋_GB2312"/>
                <w:sz w:val="20"/>
                <w:szCs w:val="20"/>
                <w:lang w:bidi="en-US"/>
              </w:rPr>
              <w:t>火星空间磁场探测</w:t>
            </w:r>
            <w:r>
              <w:rPr>
                <w:rFonts w:hint="eastAsia" w:ascii="Times New Roman" w:hAnsi="Times New Roman" w:eastAsia="仿宋_GB2312"/>
                <w:sz w:val="20"/>
                <w:szCs w:val="20"/>
                <w:lang w:bidi="en-US"/>
              </w:rPr>
              <w:t>数据</w:t>
            </w:r>
            <w:r>
              <w:rPr>
                <w:rFonts w:ascii="Times New Roman" w:hAnsi="Times New Roman" w:eastAsia="仿宋_GB2312"/>
                <w:sz w:val="20"/>
                <w:szCs w:val="20"/>
                <w:lang w:bidi="en-US"/>
              </w:rPr>
              <w:t>，</w:t>
            </w:r>
            <w:r>
              <w:rPr>
                <w:rFonts w:hint="eastAsia" w:ascii="Times New Roman" w:hAnsi="Times New Roman" w:eastAsia="仿宋_GB2312"/>
                <w:sz w:val="20"/>
                <w:szCs w:val="20"/>
                <w:lang w:bidi="en-US"/>
              </w:rPr>
              <w:t>为研究太阳风与</w:t>
            </w:r>
            <w:r>
              <w:rPr>
                <w:rFonts w:ascii="Times New Roman" w:hAnsi="Times New Roman" w:eastAsia="仿宋_GB2312"/>
                <w:sz w:val="20"/>
                <w:szCs w:val="20"/>
                <w:lang w:bidi="en-US"/>
              </w:rPr>
              <w:t>火星</w:t>
            </w:r>
            <w:r>
              <w:rPr>
                <w:rFonts w:hint="eastAsia" w:ascii="Times New Roman" w:hAnsi="Times New Roman" w:eastAsia="仿宋_GB2312"/>
                <w:sz w:val="20"/>
                <w:szCs w:val="20"/>
                <w:lang w:bidi="en-US"/>
              </w:rPr>
              <w:t>大气逃逸规律提供支撑</w:t>
            </w:r>
            <w:r>
              <w:rPr>
                <w:rFonts w:ascii="Times New Roman" w:hAnsi="Times New Roman" w:eastAsia="仿宋_GB2312"/>
                <w:sz w:val="20"/>
                <w:szCs w:val="20"/>
                <w:lang w:bidi="en-US"/>
              </w:rPr>
              <w:t>。</w:t>
            </w:r>
          </w:p>
        </w:tc>
        <w:tc>
          <w:tcPr>
            <w:tcW w:w="3789" w:type="dxa"/>
            <w:noWrap w:val="0"/>
            <w:vAlign w:val="center"/>
          </w:tcPr>
          <w:p w14:paraId="0B94D73C">
            <w:pPr>
              <w:numPr>
                <w:ilvl w:val="0"/>
                <w:numId w:val="12"/>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具备高精度矢量磁场探测功能；</w:t>
            </w:r>
          </w:p>
          <w:p w14:paraId="072C4E75">
            <w:pPr>
              <w:numPr>
                <w:ilvl w:val="0"/>
                <w:numId w:val="12"/>
              </w:numPr>
              <w:spacing w:line="240" w:lineRule="exact"/>
              <w:ind w:left="0" w:firstLine="0"/>
              <w:rPr>
                <w:rFonts w:ascii="Times New Roman" w:hAnsi="Times New Roman" w:eastAsia="仿宋_GB2312"/>
                <w:sz w:val="20"/>
                <w:szCs w:val="20"/>
                <w:lang w:bidi="en-US"/>
              </w:rPr>
            </w:pPr>
            <w:r>
              <w:rPr>
                <w:rFonts w:ascii="Times New Roman" w:hAnsi="Times New Roman" w:eastAsia="仿宋_GB2312"/>
                <w:sz w:val="20"/>
                <w:szCs w:val="20"/>
                <w:lang w:bidi="en-US"/>
              </w:rPr>
              <w:t>具有背景磁场抑制功能；</w:t>
            </w:r>
          </w:p>
          <w:p w14:paraId="1E04431B">
            <w:pPr>
              <w:numPr>
                <w:ilvl w:val="0"/>
                <w:numId w:val="12"/>
              </w:numPr>
              <w:spacing w:line="240" w:lineRule="exact"/>
              <w:ind w:left="0" w:firstLine="0"/>
              <w:rPr>
                <w:rFonts w:ascii="Times New Roman" w:hAnsi="Times New Roman" w:eastAsia="仿宋_GB2312"/>
                <w:sz w:val="20"/>
                <w:szCs w:val="20"/>
                <w:lang w:bidi="en-US"/>
              </w:rPr>
            </w:pPr>
            <w:r>
              <w:rPr>
                <w:rFonts w:ascii="Times New Roman" w:hAnsi="Times New Roman" w:eastAsia="仿宋_GB2312"/>
                <w:sz w:val="20"/>
                <w:szCs w:val="20"/>
                <w:lang w:bidi="en-US"/>
              </w:rPr>
              <w:t>具有量程动态调整功能；</w:t>
            </w:r>
          </w:p>
          <w:p w14:paraId="48C0D09C">
            <w:pPr>
              <w:numPr>
                <w:ilvl w:val="0"/>
                <w:numId w:val="12"/>
              </w:numPr>
              <w:spacing w:line="240" w:lineRule="exact"/>
              <w:ind w:left="0" w:firstLine="0"/>
              <w:rPr>
                <w:rFonts w:ascii="Times New Roman" w:hAnsi="Times New Roman" w:eastAsia="仿宋_GB2312"/>
                <w:sz w:val="20"/>
                <w:szCs w:val="20"/>
              </w:rPr>
            </w:pPr>
            <w:r>
              <w:rPr>
                <w:rFonts w:ascii="Times New Roman" w:hAnsi="Times New Roman" w:eastAsia="仿宋_GB2312"/>
                <w:sz w:val="20"/>
                <w:szCs w:val="20"/>
                <w:lang w:bidi="en-US"/>
              </w:rPr>
              <w:t>具备在轨定标功能；</w:t>
            </w:r>
          </w:p>
          <w:p w14:paraId="4255CD25">
            <w:pPr>
              <w:numPr>
                <w:ilvl w:val="0"/>
                <w:numId w:val="12"/>
              </w:numPr>
              <w:spacing w:line="240" w:lineRule="exact"/>
              <w:ind w:left="0" w:firstLine="0"/>
              <w:rPr>
                <w:rFonts w:ascii="Times New Roman" w:hAnsi="Times New Roman" w:eastAsia="仿宋_GB2312"/>
                <w:sz w:val="20"/>
                <w:szCs w:val="20"/>
              </w:rPr>
            </w:pPr>
            <w:r>
              <w:rPr>
                <w:rFonts w:ascii="Times New Roman" w:hAnsi="Times New Roman" w:eastAsia="仿宋_GB2312"/>
                <w:sz w:val="20"/>
                <w:szCs w:val="20"/>
                <w:lang w:bidi="en-US"/>
              </w:rPr>
              <w:t>具备热控功能。</w:t>
            </w:r>
          </w:p>
        </w:tc>
        <w:tc>
          <w:tcPr>
            <w:tcW w:w="5110" w:type="dxa"/>
            <w:noWrap w:val="0"/>
            <w:vAlign w:val="center"/>
          </w:tcPr>
          <w:p w14:paraId="7AE39A84">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测量范围：±10000nT；</w:t>
            </w:r>
          </w:p>
          <w:p w14:paraId="50D935A0">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分辨率：≤0.01nT；</w:t>
            </w:r>
          </w:p>
          <w:p w14:paraId="50B2B027">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噪声水平：≤0.01nT/</w:t>
            </w:r>
            <w:r>
              <w:rPr>
                <w:rFonts w:ascii="Times New Roman" w:hAnsi="Times New Roman" w:eastAsia="仿宋_GB2312"/>
                <w:position w:val="-6"/>
                <w:sz w:val="20"/>
                <w:szCs w:val="20"/>
                <w:lang w:bidi="en-US"/>
              </w:rPr>
              <w:object>
                <v:shape id="_x0000_i1025" o:spt="75" type="#_x0000_t75" style="height:14.15pt;width:24.1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ascii="Times New Roman" w:hAnsi="Times New Roman" w:eastAsia="仿宋_GB2312"/>
                <w:sz w:val="20"/>
                <w:szCs w:val="20"/>
                <w:lang w:bidi="en-US"/>
              </w:rPr>
              <w:t>@1Hz；</w:t>
            </w:r>
          </w:p>
          <w:p w14:paraId="19AE39D0">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采样率：1</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32</w:t>
            </w:r>
            <w:r>
              <w:rPr>
                <w:rFonts w:hint="eastAsia" w:ascii="Times New Roman" w:hAnsi="Times New Roman" w:eastAsia="仿宋_GB2312"/>
                <w:sz w:val="20"/>
                <w:szCs w:val="20"/>
                <w:lang w:bidi="en-US"/>
              </w:rPr>
              <w:t>、</w:t>
            </w:r>
            <w:r>
              <w:rPr>
                <w:rFonts w:ascii="Times New Roman" w:hAnsi="Times New Roman" w:eastAsia="仿宋_GB2312"/>
                <w:sz w:val="20"/>
                <w:szCs w:val="20"/>
                <w:lang w:bidi="en-US"/>
              </w:rPr>
              <w:t>128Hz；</w:t>
            </w:r>
          </w:p>
          <w:p w14:paraId="299041BD">
            <w:pPr>
              <w:numPr>
                <w:ilvl w:val="0"/>
                <w:numId w:val="13"/>
              </w:num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舱外安装空间</w:t>
            </w:r>
            <w:r>
              <w:rPr>
                <w:rFonts w:ascii="Times New Roman" w:hAnsi="Times New Roman" w:eastAsia="仿宋_GB2312"/>
                <w:sz w:val="20"/>
                <w:szCs w:val="20"/>
                <w:lang w:bidi="en-US"/>
              </w:rPr>
              <w:t>：≤1200×160×200mm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5F919868">
            <w:pPr>
              <w:numPr>
                <w:ilvl w:val="0"/>
                <w:numId w:val="13"/>
              </w:num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舱外</w:t>
            </w:r>
            <w:r>
              <w:rPr>
                <w:rFonts w:ascii="Times New Roman" w:hAnsi="Times New Roman" w:eastAsia="仿宋_GB2312"/>
                <w:sz w:val="20"/>
                <w:szCs w:val="20"/>
                <w:lang w:bidi="en-US"/>
              </w:rPr>
              <w:t>展开</w:t>
            </w:r>
            <w:r>
              <w:rPr>
                <w:rFonts w:hint="eastAsia" w:ascii="Times New Roman" w:hAnsi="Times New Roman" w:eastAsia="仿宋_GB2312"/>
                <w:sz w:val="20"/>
                <w:szCs w:val="20"/>
                <w:lang w:bidi="en-US"/>
              </w:rPr>
              <w:t>空间</w:t>
            </w:r>
            <w:r>
              <w:rPr>
                <w:rFonts w:ascii="Times New Roman" w:hAnsi="Times New Roman" w:eastAsia="仿宋_GB2312"/>
                <w:sz w:val="20"/>
                <w:szCs w:val="20"/>
                <w:lang w:bidi="en-US"/>
              </w:rPr>
              <w:t>：≤3200×160×200mm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7365E14A">
            <w:pPr>
              <w:numPr>
                <w:ilvl w:val="0"/>
                <w:numId w:val="13"/>
              </w:numPr>
              <w:spacing w:line="240" w:lineRule="exact"/>
              <w:rPr>
                <w:rFonts w:ascii="Times New Roman" w:hAnsi="Times New Roman" w:eastAsia="仿宋_GB2312"/>
                <w:sz w:val="20"/>
                <w:szCs w:val="20"/>
                <w:lang w:bidi="en-US"/>
              </w:rPr>
            </w:pPr>
            <w:r>
              <w:rPr>
                <w:rFonts w:hint="eastAsia" w:ascii="Times New Roman" w:hAnsi="Times New Roman" w:eastAsia="仿宋_GB2312"/>
                <w:sz w:val="20"/>
                <w:szCs w:val="20"/>
                <w:lang w:bidi="en-US"/>
              </w:rPr>
              <w:t>舱内安装空间</w:t>
            </w:r>
            <w:r>
              <w:rPr>
                <w:rFonts w:ascii="Times New Roman" w:hAnsi="Times New Roman" w:eastAsia="仿宋_GB2312"/>
                <w:sz w:val="20"/>
                <w:szCs w:val="20"/>
                <w:lang w:bidi="en-US"/>
              </w:rPr>
              <w:t>：≤260×180×90mm</w:t>
            </w:r>
            <w:r>
              <w:rPr>
                <w:rFonts w:ascii="Times New Roman" w:hAnsi="Times New Roman" w:eastAsia="仿宋_GB2312"/>
                <w:sz w:val="20"/>
                <w:szCs w:val="20"/>
                <w:vertAlign w:val="superscript"/>
                <w:lang w:bidi="en-US"/>
              </w:rPr>
              <w:t>3</w:t>
            </w:r>
            <w:r>
              <w:rPr>
                <w:rFonts w:ascii="Times New Roman" w:hAnsi="Times New Roman" w:eastAsia="仿宋_GB2312"/>
                <w:sz w:val="20"/>
                <w:szCs w:val="20"/>
                <w:lang w:bidi="en-US"/>
              </w:rPr>
              <w:t>；</w:t>
            </w:r>
          </w:p>
          <w:p w14:paraId="1B0809E2">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功耗：≤5W；</w:t>
            </w:r>
          </w:p>
          <w:p w14:paraId="76675160">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重量（含内部电缆）≤7.0kg；</w:t>
            </w:r>
          </w:p>
          <w:p w14:paraId="1F42DC04">
            <w:pPr>
              <w:numPr>
                <w:ilvl w:val="0"/>
                <w:numId w:val="13"/>
              </w:numPr>
              <w:spacing w:line="240" w:lineRule="exact"/>
              <w:rPr>
                <w:rFonts w:ascii="Times New Roman" w:hAnsi="Times New Roman" w:eastAsia="仿宋_GB2312"/>
                <w:sz w:val="20"/>
                <w:szCs w:val="20"/>
                <w:lang w:bidi="en-US"/>
              </w:rPr>
            </w:pPr>
            <w:r>
              <w:rPr>
                <w:rFonts w:ascii="Times New Roman" w:hAnsi="Times New Roman" w:eastAsia="仿宋_GB2312"/>
                <w:sz w:val="20"/>
                <w:szCs w:val="20"/>
                <w:lang w:bidi="en-US"/>
              </w:rPr>
              <w:t>寿命：环火飞行≥2个火星年。</w:t>
            </w:r>
          </w:p>
        </w:tc>
      </w:tr>
      <w:bookmarkEnd w:id="0"/>
    </w:tbl>
    <w:p w14:paraId="033842F2">
      <w:pPr>
        <w:pStyle w:val="2"/>
        <w:spacing w:after="0" w:line="28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注：1.载荷重量指标应包含载荷单机本体、热控组件及内外部连接电缆。</w:t>
      </w:r>
    </w:p>
    <w:p w14:paraId="04C62DE8">
      <w:pPr>
        <w:pStyle w:val="2"/>
        <w:spacing w:after="0" w:line="2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2.载荷寿命详细要求：地面存储：18个月；总装及测试：24个月；在轨运行时，服务器载荷：环火飞行≥2个火星年（其中发射至火面起飞前＞22个月为主</w:t>
      </w:r>
    </w:p>
    <w:p w14:paraId="286C3643">
      <w:pPr>
        <w:pStyle w:val="2"/>
        <w:spacing w:after="0" w:line="2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任务，之后为拓展任务）；着陆器载荷：发射至着陆前＞19个月，火面工作＞90个火星日（或满足火面起飞需求）：轨道器载荷：＞5年。此外各产品需满足</w:t>
      </w:r>
    </w:p>
    <w:p w14:paraId="1705C01B">
      <w:pPr>
        <w:pStyle w:val="2"/>
        <w:spacing w:after="0" w:line="2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26个月的地面存储要求。</w:t>
      </w:r>
    </w:p>
    <w:p w14:paraId="0DADDC7C">
      <w:pPr>
        <w:pStyle w:val="2"/>
        <w:spacing w:after="0" w:line="280" w:lineRule="exact"/>
        <w:ind w:firstLine="400" w:firstLineChars="200"/>
        <w:rPr>
          <w:rFonts w:hint="eastAsia"/>
        </w:rPr>
      </w:pPr>
      <w:r>
        <w:rPr>
          <w:rFonts w:hint="eastAsia" w:ascii="仿宋_GB2312" w:hAnsi="仿宋_GB2312" w:eastAsia="仿宋_GB2312" w:cs="仿宋_GB2312"/>
          <w:sz w:val="20"/>
          <w:szCs w:val="20"/>
        </w:rPr>
        <w:t>3.在工程实施阶段，载荷的机械、热控、供电、信息接口需满足探测器平台规范，同时适应探测器平台环境条件。</w:t>
      </w:r>
    </w:p>
    <w:p w14:paraId="6A7945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创艺简标宋">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612C6"/>
    <w:multiLevelType w:val="singleLevel"/>
    <w:tmpl w:val="FB7612C6"/>
    <w:lvl w:ilvl="0" w:tentative="0">
      <w:start w:val="1"/>
      <w:numFmt w:val="decimal"/>
      <w:lvlText w:val="%1)"/>
      <w:lvlJc w:val="left"/>
      <w:pPr>
        <w:ind w:left="425" w:hanging="425"/>
      </w:pPr>
      <w:rPr>
        <w:rFonts w:hint="default"/>
      </w:rPr>
    </w:lvl>
  </w:abstractNum>
  <w:abstractNum w:abstractNumId="1">
    <w:nsid w:val="08026FB0"/>
    <w:multiLevelType w:val="multilevel"/>
    <w:tmpl w:val="08026FB0"/>
    <w:lvl w:ilvl="0" w:tentative="0">
      <w:start w:val="1"/>
      <w:numFmt w:val="decimal"/>
      <w:suff w:val="space"/>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31F459E"/>
    <w:multiLevelType w:val="multilevel"/>
    <w:tmpl w:val="131F459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331784A"/>
    <w:multiLevelType w:val="multilevel"/>
    <w:tmpl w:val="4331784A"/>
    <w:lvl w:ilvl="0" w:tentative="0">
      <w:start w:val="1"/>
      <w:numFmt w:val="decimal"/>
      <w:suff w:val="space"/>
      <w:lvlText w:val="%1）"/>
      <w:lvlJc w:val="left"/>
      <w:pPr>
        <w:ind w:left="440" w:hanging="44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8896AA6"/>
    <w:multiLevelType w:val="multilevel"/>
    <w:tmpl w:val="48896AA6"/>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9092545"/>
    <w:multiLevelType w:val="multilevel"/>
    <w:tmpl w:val="49092545"/>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C8B3C93"/>
    <w:multiLevelType w:val="multilevel"/>
    <w:tmpl w:val="4C8B3C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4FE570F"/>
    <w:multiLevelType w:val="multilevel"/>
    <w:tmpl w:val="54FE570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CB28ADA"/>
    <w:multiLevelType w:val="singleLevel"/>
    <w:tmpl w:val="5CB28ADA"/>
    <w:lvl w:ilvl="0" w:tentative="0">
      <w:start w:val="1"/>
      <w:numFmt w:val="decimal"/>
      <w:lvlText w:val="%1)"/>
      <w:lvlJc w:val="left"/>
      <w:pPr>
        <w:ind w:left="425" w:hanging="425"/>
      </w:pPr>
      <w:rPr>
        <w:rFonts w:hint="default"/>
      </w:rPr>
    </w:lvl>
  </w:abstractNum>
  <w:abstractNum w:abstractNumId="9">
    <w:nsid w:val="5D7E7604"/>
    <w:multiLevelType w:val="multilevel"/>
    <w:tmpl w:val="5D7E7604"/>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F8C52A6"/>
    <w:multiLevelType w:val="multilevel"/>
    <w:tmpl w:val="5F8C52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B85114B"/>
    <w:multiLevelType w:val="multilevel"/>
    <w:tmpl w:val="6B85114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6E4F25C3"/>
    <w:multiLevelType w:val="multilevel"/>
    <w:tmpl w:val="6E4F25C3"/>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0"/>
  </w:num>
  <w:num w:numId="3">
    <w:abstractNumId w:val="12"/>
  </w:num>
  <w:num w:numId="4">
    <w:abstractNumId w:val="8"/>
  </w:num>
  <w:num w:numId="5">
    <w:abstractNumId w:val="5"/>
  </w:num>
  <w:num w:numId="6">
    <w:abstractNumId w:val="11"/>
  </w:num>
  <w:num w:numId="7">
    <w:abstractNumId w:val="4"/>
  </w:num>
  <w:num w:numId="8">
    <w:abstractNumId w:val="2"/>
  </w:num>
  <w:num w:numId="9">
    <w:abstractNumId w:val="3"/>
  </w:num>
  <w:num w:numId="10">
    <w:abstractNumId w:val="7"/>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12A10"/>
    <w:rsid w:val="4421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2025-05-20T09:16:00Z</dcterms:created>
  <dc:creator>金小菲大人</dc:creator>
  <cp:lastModifiedBy>金小菲大人</cp:lastModifiedBy>
  <dcterms:modified xsi:type="dcterms:W3CDTF">2025-05-20T09:17:59Z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3AF438CA3A074D4FA89759C686A486AA_11</vt:lpwstr>
  </property>
  <property fmtid="{D5CDD505-2E9C-101B-9397-08002B2CF9AE}" pid="4" name="KSOTemplateDocerSaveRecord">
    <vt:lpwstr>eyJoZGlkIjoiYzdjNjE1OTc5MzAzY2MwNjEyYWM0NjJlYTVmNDcyN2QiLCJ1c2VySWQiOiIzMDA1MTQ0ODMifQ==</vt:lpwstr>
  </property>
</Properties>
</file>